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B176" w14:textId="56AC7569" w:rsidR="001C2431" w:rsidRPr="00201A87" w:rsidRDefault="00F03675" w:rsidP="00F37D69">
      <w:pPr>
        <w:spacing w:after="0" w:line="240" w:lineRule="auto"/>
        <w:rPr>
          <w:rFonts w:ascii="Arial" w:hAnsi="Arial" w:cs="Arial"/>
          <w:b/>
          <w:bCs/>
          <w:color w:val="C00000"/>
          <w:shd w:val="clear" w:color="auto" w:fill="FFFFFF"/>
        </w:rPr>
      </w:pPr>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DEEC711" wp14:editId="130687F0">
                <wp:simplePos x="0" y="0"/>
                <wp:positionH relativeFrom="margin">
                  <wp:align>left</wp:align>
                </wp:positionH>
                <wp:positionV relativeFrom="paragraph">
                  <wp:posOffset>0</wp:posOffset>
                </wp:positionV>
                <wp:extent cx="6485255" cy="440055"/>
                <wp:effectExtent l="0" t="0" r="10795" b="1905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440055"/>
                        </a:xfrm>
                        <a:prstGeom prst="rect">
                          <a:avLst/>
                        </a:prstGeom>
                        <a:solidFill>
                          <a:srgbClr val="FFFFFF"/>
                        </a:solidFill>
                        <a:ln w="9525">
                          <a:solidFill>
                            <a:srgbClr val="000000"/>
                          </a:solidFill>
                          <a:miter lim="800000"/>
                          <a:headEnd/>
                          <a:tailEnd/>
                        </a:ln>
                      </wps:spPr>
                      <wps:txbx>
                        <w:txbxContent>
                          <w:p w14:paraId="3C57A22E" w14:textId="482130A5" w:rsidR="00F03675" w:rsidRDefault="007961C2" w:rsidP="007961C2">
                            <w:pPr>
                              <w:spacing w:after="0" w:line="240" w:lineRule="auto"/>
                              <w:jc w:val="center"/>
                              <w:rPr>
                                <w:rFonts w:ascii="Arial" w:hAnsi="Arial" w:cs="Arial"/>
                                <w:b/>
                                <w:bCs/>
                              </w:rPr>
                            </w:pPr>
                            <w:r>
                              <w:rPr>
                                <w:rFonts w:ascii="Arial" w:hAnsi="Arial" w:cs="Arial"/>
                                <w:b/>
                                <w:bCs/>
                              </w:rPr>
                              <w:t>ICBA 2026 RESOURCES &amp; REFERENCES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EC711" id="_x0000_t202" coordsize="21600,21600" o:spt="202" path="m,l,21600r21600,l21600,xe">
                <v:stroke joinstyle="miter"/>
                <v:path gradientshapeok="t" o:connecttype="rect"/>
              </v:shapetype>
              <v:shape id="Text Box 1" o:spid="_x0000_s1026" type="#_x0000_t202" style="position:absolute;margin-left:0;margin-top:0;width:510.65pt;height:34.6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">
                <v:textbox style="mso-fit-shape-to-text:t">
                  <w:txbxContent>
                    <w:p w14:paraId="3C57A22E" w14:textId="482130A5" w:rsidR="00F03675" w:rsidRDefault="007961C2" w:rsidP="007961C2">
                      <w:pPr>
                        <w:spacing w:after="0" w:line="240" w:lineRule="auto"/>
                        <w:jc w:val="center"/>
                        <w:rPr>
                          <w:rFonts w:ascii="Arial" w:hAnsi="Arial" w:cs="Arial"/>
                          <w:b/>
                          <w:bCs/>
                        </w:rPr>
                      </w:pPr>
                      <w:r>
                        <w:rPr>
                          <w:rFonts w:ascii="Arial" w:hAnsi="Arial" w:cs="Arial"/>
                          <w:b/>
                          <w:bCs/>
                        </w:rPr>
                        <w:t>ICBA 2026 RESOURCES &amp; REFERENCES</w:t>
                      </w:r>
                    </w:p>
                  </w:txbxContent>
                </v:textbox>
                <w10:wrap type="square" anchorx="margin"/>
              </v:shape>
            </w:pict>
          </mc:Fallback>
        </mc:AlternateContent>
      </w:r>
      <w:r w:rsidR="00B850EB" w:rsidRPr="00201A87">
        <w:rPr>
          <w:rFonts w:ascii="Arial" w:hAnsi="Arial" w:cs="Arial"/>
          <w:b/>
          <w:bCs/>
          <w:color w:val="C00000"/>
          <w:shd w:val="clear" w:color="auto" w:fill="FFFFFF"/>
        </w:rPr>
        <w:t xml:space="preserve"> </w:t>
      </w:r>
    </w:p>
    <w:p w14:paraId="4BDDCC90" w14:textId="054BF67C" w:rsidR="00A55F4D" w:rsidRPr="00FD605C" w:rsidRDefault="00A55F4D" w:rsidP="00F37D69">
      <w:pPr>
        <w:spacing w:after="0" w:line="240" w:lineRule="auto"/>
        <w:rPr>
          <w:rFonts w:ascii="Arial" w:hAnsi="Arial" w:cs="Arial"/>
          <w:b/>
          <w:bCs/>
          <w:color w:val="FF0000"/>
          <w:shd w:val="clear" w:color="auto" w:fill="FFFFFF"/>
        </w:rPr>
      </w:pPr>
      <w:r w:rsidRPr="00E3214F">
        <w:rPr>
          <w:rFonts w:ascii="Arial" w:hAnsi="Arial" w:cs="Arial"/>
          <w:b/>
          <w:bCs/>
          <w:caps/>
          <w:color w:val="595959" w:themeColor="text1" w:themeTint="A6"/>
          <w:shd w:val="clear" w:color="auto" w:fill="FFFFFF"/>
        </w:rPr>
        <w:t>Resources: publications, reference guides, videos</w:t>
      </w:r>
    </w:p>
    <w:p w14:paraId="7917B071" w14:textId="6BCCE780" w:rsidR="00380DED" w:rsidRPr="00E3214F" w:rsidRDefault="00380DED" w:rsidP="00380DED">
      <w:pPr>
        <w:rPr>
          <w:rFonts w:ascii="Arial" w:hAnsi="Arial" w:cs="Arial"/>
          <w:b/>
          <w:bCs/>
          <w:caps/>
        </w:rPr>
      </w:pPr>
      <w:hyperlink r:id="rId10" w:history="1">
        <w:r w:rsidRPr="00E3214F">
          <w:rPr>
            <w:rStyle w:val="Hyperlink"/>
            <w:rFonts w:ascii="Arial" w:hAnsi="Arial" w:cs="Arial"/>
          </w:rPr>
          <w:t>Resources - ICBA Education (icba.org)</w:t>
        </w:r>
      </w:hyperlink>
    </w:p>
    <w:p w14:paraId="5F3F465E" w14:textId="77777777" w:rsidR="0045466A" w:rsidRPr="00E3214F" w:rsidRDefault="0045466A" w:rsidP="0045466A">
      <w:pPr>
        <w:shd w:val="clear" w:color="auto" w:fill="FFFFFF"/>
        <w:spacing w:after="0" w:line="240" w:lineRule="auto"/>
        <w:rPr>
          <w:rFonts w:ascii="Arial" w:hAnsi="Arial" w:cs="Arial"/>
          <w:b/>
          <w:bCs/>
          <w:color w:val="005AE0"/>
        </w:rPr>
      </w:pPr>
      <w:r w:rsidRPr="00E3214F">
        <w:rPr>
          <w:rFonts w:ascii="Arial" w:hAnsi="Arial" w:cs="Arial"/>
          <w:b/>
          <w:bCs/>
          <w:color w:val="005AE0"/>
        </w:rPr>
        <w:t>Audit Working Papers</w:t>
      </w:r>
    </w:p>
    <w:p w14:paraId="30E215C4" w14:textId="1745FC73" w:rsidR="0045466A" w:rsidRPr="00F95EC8" w:rsidRDefault="0045466A" w:rsidP="00EF6A1F">
      <w:pPr>
        <w:pStyle w:val="NormalWeb"/>
        <w:shd w:val="clear" w:color="auto" w:fill="FFFFFF"/>
        <w:spacing w:before="0" w:beforeAutospacing="0" w:after="0" w:afterAutospacing="0"/>
        <w:rPr>
          <w:rFonts w:ascii="Arial" w:hAnsi="Arial" w:cs="Arial"/>
          <w:sz w:val="22"/>
          <w:szCs w:val="22"/>
          <w:shd w:val="clear" w:color="auto" w:fill="FFFFFF"/>
        </w:rPr>
      </w:pPr>
      <w:r w:rsidRPr="00F95EC8">
        <w:rPr>
          <w:rFonts w:ascii="Arial" w:hAnsi="Arial" w:cs="Arial"/>
          <w:sz w:val="22"/>
          <w:szCs w:val="22"/>
          <w:shd w:val="clear" w:color="auto" w:fill="FFFFFF"/>
        </w:rPr>
        <w:t>Establish strong audit procedures to help support your bank's internal control environment and mitigate institution risk.</w:t>
      </w:r>
      <w:r w:rsidRPr="00F95EC8">
        <w:rPr>
          <w:rFonts w:ascii="Arial" w:hAnsi="Arial" w:cs="Arial"/>
          <w:sz w:val="22"/>
          <w:szCs w:val="22"/>
        </w:rPr>
        <w:t xml:space="preserve"> Ensure a complete and comprehensive cross-departmental audit scope with this customizable resource that can be scaled to fit the size, complexity, and risk profile of your </w:t>
      </w:r>
      <w:r w:rsidR="002B4863" w:rsidRPr="00F95EC8">
        <w:rPr>
          <w:rFonts w:ascii="Arial" w:hAnsi="Arial" w:cs="Arial"/>
          <w:sz w:val="22"/>
          <w:szCs w:val="22"/>
        </w:rPr>
        <w:t>bank. Topic</w:t>
      </w:r>
      <w:r w:rsidRPr="00F95EC8">
        <w:rPr>
          <w:rFonts w:ascii="Arial" w:hAnsi="Arial" w:cs="Arial"/>
          <w:sz w:val="22"/>
          <w:szCs w:val="22"/>
        </w:rPr>
        <w:t xml:space="preserve"> areas are organized by Excel Workbooks. Each workbook may contain worksheets for the work program, internal control questionnaires, internal memos, testing and review checklists.</w:t>
      </w:r>
    </w:p>
    <w:p w14:paraId="193E7199" w14:textId="3F1B0C47" w:rsidR="00D521A4" w:rsidRPr="00D50572" w:rsidRDefault="00D521A4" w:rsidP="00EF6A1F">
      <w:pPr>
        <w:shd w:val="clear" w:color="auto" w:fill="FFFFFF"/>
        <w:spacing w:after="0" w:line="240" w:lineRule="auto"/>
        <w:rPr>
          <w:rFonts w:ascii="Arial" w:hAnsi="Arial" w:cs="Arial"/>
          <w:color w:val="005280"/>
        </w:rPr>
      </w:pPr>
      <w:hyperlink r:id="rId11" w:history="1">
        <w:r w:rsidRPr="00D50572">
          <w:rPr>
            <w:rStyle w:val="Hyperlink"/>
            <w:rFonts w:ascii="Arial" w:hAnsi="Arial" w:cs="Arial"/>
          </w:rPr>
          <w:t>Audit Working Papers (Digital) - Product Details - ICBA.org</w:t>
        </w:r>
      </w:hyperlink>
    </w:p>
    <w:p w14:paraId="4D0F555C" w14:textId="77777777" w:rsidR="0045466A" w:rsidRPr="00E3214F" w:rsidRDefault="0045466A" w:rsidP="00016C2E">
      <w:pPr>
        <w:shd w:val="clear" w:color="auto" w:fill="FFFFFF"/>
        <w:spacing w:after="0" w:line="240" w:lineRule="auto"/>
        <w:rPr>
          <w:rFonts w:ascii="Arial" w:hAnsi="Arial" w:cs="Arial"/>
          <w:b/>
          <w:bCs/>
          <w:color w:val="005AE0"/>
        </w:rPr>
      </w:pPr>
    </w:p>
    <w:p w14:paraId="040D5767" w14:textId="77777777" w:rsidR="0045466A" w:rsidRPr="00E3214F" w:rsidRDefault="0045466A" w:rsidP="0045466A">
      <w:pPr>
        <w:shd w:val="clear" w:color="auto" w:fill="FFFFFF"/>
        <w:spacing w:after="0" w:line="240" w:lineRule="auto"/>
        <w:rPr>
          <w:rFonts w:ascii="Arial" w:hAnsi="Arial" w:cs="Arial"/>
          <w:b/>
          <w:bCs/>
          <w:color w:val="005AE0"/>
        </w:rPr>
      </w:pPr>
      <w:r w:rsidRPr="00E3214F">
        <w:rPr>
          <w:rFonts w:ascii="Arial" w:hAnsi="Arial" w:cs="Arial"/>
          <w:b/>
          <w:bCs/>
          <w:color w:val="005AE0"/>
        </w:rPr>
        <w:t xml:space="preserve">Bank Compliance </w:t>
      </w:r>
      <w:bookmarkStart w:id="0" w:name="_Hlk121483341"/>
      <w:r w:rsidRPr="00E3214F">
        <w:rPr>
          <w:rFonts w:ascii="Arial" w:hAnsi="Arial" w:cs="Arial"/>
          <w:b/>
          <w:bCs/>
          <w:color w:val="005AE0"/>
        </w:rPr>
        <w:t>Check Up</w:t>
      </w:r>
    </w:p>
    <w:bookmarkEnd w:id="0"/>
    <w:p w14:paraId="0EDEC2FE" w14:textId="2C55FA40" w:rsidR="0045466A" w:rsidRPr="00F95EC8" w:rsidRDefault="0045466A" w:rsidP="0045466A">
      <w:pPr>
        <w:spacing w:after="0" w:line="240" w:lineRule="auto"/>
        <w:rPr>
          <w:rFonts w:ascii="Arial" w:hAnsi="Arial" w:cs="Arial"/>
          <w:shd w:val="clear" w:color="auto" w:fill="FFFFFF"/>
        </w:rPr>
      </w:pPr>
      <w:r w:rsidRPr="00F95EC8">
        <w:rPr>
          <w:rFonts w:ascii="Arial" w:hAnsi="Arial" w:cs="Arial"/>
          <w:shd w:val="clear" w:color="auto" w:fill="FFFFFF"/>
        </w:rPr>
        <w:t>The Bank Compliance Check</w:t>
      </w:r>
      <w:r w:rsidR="00C32C0A" w:rsidRPr="00F95EC8">
        <w:rPr>
          <w:rFonts w:ascii="Arial" w:hAnsi="Arial" w:cs="Arial"/>
          <w:shd w:val="clear" w:color="auto" w:fill="FFFFFF"/>
        </w:rPr>
        <w:t xml:space="preserve"> U</w:t>
      </w:r>
      <w:r w:rsidRPr="00F95EC8">
        <w:rPr>
          <w:rFonts w:ascii="Arial" w:hAnsi="Arial" w:cs="Arial"/>
          <w:shd w:val="clear" w:color="auto" w:fill="FFFFFF"/>
        </w:rPr>
        <w:t>p Program provides a comprehensive system for on-going monitoring of your bank’s compliance with Deposit, Lending, Administrative and IT/Tech/Security regulations. Your subscription includes Excel checklists, that when completed, will provide a report of satisfactory compliance or deficiencies.</w:t>
      </w:r>
    </w:p>
    <w:p w14:paraId="5C9C8A32" w14:textId="160D6F26" w:rsidR="000D487B" w:rsidRPr="000D32E2" w:rsidRDefault="0038751E" w:rsidP="0045466A">
      <w:pPr>
        <w:spacing w:after="0" w:line="240" w:lineRule="auto"/>
        <w:rPr>
          <w:rFonts w:ascii="Arial" w:hAnsi="Arial" w:cs="Arial"/>
        </w:rPr>
      </w:pPr>
      <w:hyperlink r:id="rId12" w:history="1">
        <w:r w:rsidRPr="000D32E2">
          <w:rPr>
            <w:rStyle w:val="Hyperlink"/>
            <w:rFonts w:ascii="Arial" w:hAnsi="Arial" w:cs="Arial"/>
          </w:rPr>
          <w:t>Bank Compliance Check Up Program - Product Details - ICBA.org</w:t>
        </w:r>
      </w:hyperlink>
    </w:p>
    <w:p w14:paraId="25C3AFE2" w14:textId="6B94D1BF" w:rsidR="0045466A" w:rsidRPr="000D32E2" w:rsidRDefault="0045466A" w:rsidP="00016C2E">
      <w:pPr>
        <w:shd w:val="clear" w:color="auto" w:fill="FFFFFF"/>
        <w:spacing w:after="0" w:line="240" w:lineRule="auto"/>
        <w:rPr>
          <w:rFonts w:ascii="Arial" w:hAnsi="Arial" w:cs="Arial"/>
          <w:b/>
          <w:bCs/>
          <w:color w:val="005AE0"/>
        </w:rPr>
      </w:pPr>
    </w:p>
    <w:p w14:paraId="7AB480C8" w14:textId="2FE716FC" w:rsidR="00A7332F" w:rsidRPr="00E3214F" w:rsidRDefault="00A7332F" w:rsidP="002F36E0">
      <w:pPr>
        <w:shd w:val="clear" w:color="auto" w:fill="FFFFFF"/>
        <w:spacing w:after="0" w:line="240" w:lineRule="auto"/>
        <w:rPr>
          <w:rFonts w:ascii="Arial" w:eastAsia="Times New Roman" w:hAnsi="Arial" w:cs="Arial"/>
          <w:b/>
          <w:bCs/>
          <w:color w:val="005AE0"/>
        </w:rPr>
      </w:pPr>
      <w:r w:rsidRPr="00E3214F">
        <w:rPr>
          <w:rFonts w:ascii="Arial" w:hAnsi="Arial" w:cs="Arial"/>
          <w:b/>
          <w:bCs/>
          <w:color w:val="005AE0"/>
        </w:rPr>
        <w:t>Bank Policies</w:t>
      </w:r>
    </w:p>
    <w:p w14:paraId="72F9E2CF" w14:textId="22EC7BE4" w:rsidR="007B2771" w:rsidRPr="00F95EC8" w:rsidRDefault="007B2771" w:rsidP="007B2771">
      <w:pPr>
        <w:spacing w:after="0" w:line="240" w:lineRule="auto"/>
        <w:rPr>
          <w:rFonts w:ascii="Arial" w:eastAsia="Times New Roman" w:hAnsi="Arial" w:cs="Arial"/>
          <w:shd w:val="clear" w:color="auto" w:fill="FFFFFF"/>
        </w:rPr>
      </w:pPr>
      <w:r w:rsidRPr="00F95EC8">
        <w:rPr>
          <w:rFonts w:ascii="Arial" w:eastAsia="Times New Roman" w:hAnsi="Arial" w:cs="Arial"/>
          <w:shd w:val="clear" w:color="auto" w:fill="FFFFFF"/>
        </w:rPr>
        <w:t>Alleviate the tedious task of developing bank policies from scratch. These policies provide a quick reference with thorough, easy-to-read instructions to guide your bank through the policy development or revision process.</w:t>
      </w:r>
    </w:p>
    <w:p w14:paraId="6559A162" w14:textId="77777777" w:rsidR="007B2771" w:rsidRPr="00F95EC8" w:rsidRDefault="007B2771" w:rsidP="007B2771">
      <w:pPr>
        <w:spacing w:after="0" w:line="240" w:lineRule="auto"/>
        <w:rPr>
          <w:rFonts w:ascii="Arial" w:eastAsia="Times New Roman" w:hAnsi="Arial" w:cs="Arial"/>
        </w:rPr>
      </w:pPr>
    </w:p>
    <w:p w14:paraId="5C782880" w14:textId="0B58BD73" w:rsidR="007B2771" w:rsidRPr="00F95EC8" w:rsidRDefault="007B2771" w:rsidP="00646694">
      <w:pPr>
        <w:shd w:val="clear" w:color="auto" w:fill="FFFFFF"/>
        <w:spacing w:after="0" w:line="240" w:lineRule="auto"/>
        <w:rPr>
          <w:rFonts w:ascii="Arial" w:eastAsia="Times New Roman" w:hAnsi="Arial" w:cs="Arial"/>
        </w:rPr>
      </w:pPr>
      <w:r w:rsidRPr="00F95EC8">
        <w:rPr>
          <w:rFonts w:ascii="Arial" w:eastAsia="Times New Roman" w:hAnsi="Arial" w:cs="Arial"/>
        </w:rPr>
        <w:t xml:space="preserve">There are over 100 policies available, covering everything from compliance to lending and social media. </w:t>
      </w:r>
      <w:r w:rsidR="004626FC" w:rsidRPr="00F95EC8">
        <w:rPr>
          <w:rFonts w:ascii="Arial" w:eastAsia="Times New Roman" w:hAnsi="Arial" w:cs="Arial"/>
        </w:rPr>
        <w:t>Policies are provide</w:t>
      </w:r>
      <w:r w:rsidR="000E29FB" w:rsidRPr="00F95EC8">
        <w:rPr>
          <w:rFonts w:ascii="Arial" w:eastAsia="Times New Roman" w:hAnsi="Arial" w:cs="Arial"/>
        </w:rPr>
        <w:t>d</w:t>
      </w:r>
      <w:r w:rsidR="004626FC" w:rsidRPr="00F95EC8">
        <w:rPr>
          <w:rFonts w:ascii="Arial" w:eastAsia="Times New Roman" w:hAnsi="Arial" w:cs="Arial"/>
        </w:rPr>
        <w:t xml:space="preserve"> in a</w:t>
      </w:r>
      <w:r w:rsidR="004F5E36" w:rsidRPr="00F95EC8">
        <w:rPr>
          <w:rFonts w:ascii="Arial" w:eastAsia="Times New Roman" w:hAnsi="Arial" w:cs="Arial"/>
        </w:rPr>
        <w:t>n editable</w:t>
      </w:r>
      <w:r w:rsidR="004626FC" w:rsidRPr="00F95EC8">
        <w:rPr>
          <w:rFonts w:ascii="Arial" w:eastAsia="Times New Roman" w:hAnsi="Arial" w:cs="Arial"/>
        </w:rPr>
        <w:t xml:space="preserve"> Word document</w:t>
      </w:r>
      <w:r w:rsidRPr="00F95EC8">
        <w:rPr>
          <w:rFonts w:ascii="Arial" w:eastAsia="Times New Roman" w:hAnsi="Arial" w:cs="Arial"/>
        </w:rPr>
        <w:t xml:space="preserve">, </w:t>
      </w:r>
      <w:r w:rsidR="004F5E36" w:rsidRPr="00F95EC8">
        <w:rPr>
          <w:rFonts w:ascii="Arial" w:eastAsia="Times New Roman" w:hAnsi="Arial" w:cs="Arial"/>
        </w:rPr>
        <w:t xml:space="preserve">so </w:t>
      </w:r>
      <w:r w:rsidRPr="00F95EC8">
        <w:rPr>
          <w:rFonts w:ascii="Arial" w:eastAsia="Times New Roman" w:hAnsi="Arial" w:cs="Arial"/>
        </w:rPr>
        <w:t>you can quickly customize these policies to work for your bank.</w:t>
      </w:r>
    </w:p>
    <w:p w14:paraId="23651FF6" w14:textId="1C0257EA" w:rsidR="002F36E0" w:rsidRPr="006C6BFF" w:rsidRDefault="006C6BFF" w:rsidP="00A7332F">
      <w:pPr>
        <w:shd w:val="clear" w:color="auto" w:fill="FFFFFF"/>
        <w:spacing w:after="0" w:line="240" w:lineRule="auto"/>
        <w:rPr>
          <w:rFonts w:ascii="Arial" w:hAnsi="Arial" w:cs="Arial"/>
          <w:color w:val="005280"/>
        </w:rPr>
      </w:pPr>
      <w:hyperlink r:id="rId13" w:history="1">
        <w:r w:rsidRPr="006C6BFF">
          <w:rPr>
            <w:rStyle w:val="Hyperlink"/>
            <w:rFonts w:ascii="Arial" w:hAnsi="Arial" w:cs="Arial"/>
          </w:rPr>
          <w:t>ICBA Education Resources - ICBA.org</w:t>
        </w:r>
      </w:hyperlink>
    </w:p>
    <w:p w14:paraId="38950B47" w14:textId="77777777" w:rsidR="002A5BBF" w:rsidRDefault="002A5BBF" w:rsidP="00097780">
      <w:pPr>
        <w:shd w:val="clear" w:color="auto" w:fill="FFFFFF"/>
        <w:spacing w:after="0" w:line="240" w:lineRule="auto"/>
        <w:rPr>
          <w:rFonts w:ascii="Arial" w:hAnsi="Arial" w:cs="Arial"/>
          <w:b/>
          <w:bCs/>
          <w:color w:val="005AE0"/>
        </w:rPr>
      </w:pPr>
    </w:p>
    <w:p w14:paraId="59373F28" w14:textId="01807855" w:rsidR="00097780" w:rsidRPr="00E3214F" w:rsidRDefault="00097780" w:rsidP="00097780">
      <w:pPr>
        <w:shd w:val="clear" w:color="auto" w:fill="FFFFFF"/>
        <w:spacing w:after="0" w:line="240" w:lineRule="auto"/>
        <w:rPr>
          <w:rFonts w:ascii="Arial" w:eastAsia="Times New Roman" w:hAnsi="Arial" w:cs="Arial"/>
          <w:b/>
          <w:bCs/>
          <w:color w:val="005AE0"/>
        </w:rPr>
      </w:pPr>
      <w:r w:rsidRPr="00E3214F">
        <w:rPr>
          <w:rFonts w:ascii="Arial" w:hAnsi="Arial" w:cs="Arial"/>
          <w:b/>
          <w:bCs/>
          <w:color w:val="005AE0"/>
        </w:rPr>
        <w:t>Boardroom Strategies for FI’s</w:t>
      </w:r>
    </w:p>
    <w:p w14:paraId="377EB53A" w14:textId="77777777" w:rsidR="00097780" w:rsidRPr="00F95EC8" w:rsidRDefault="00097780" w:rsidP="00097780">
      <w:pPr>
        <w:spacing w:after="0" w:line="240" w:lineRule="auto"/>
        <w:rPr>
          <w:rStyle w:val="Emphasis"/>
          <w:rFonts w:ascii="Arial" w:hAnsi="Arial" w:cs="Arial"/>
          <w:shd w:val="clear" w:color="auto" w:fill="FFFFFF"/>
        </w:rPr>
      </w:pPr>
      <w:r w:rsidRPr="00F95EC8">
        <w:rPr>
          <w:rStyle w:val="Emphasis"/>
          <w:rFonts w:ascii="Arial" w:hAnsi="Arial" w:cs="Arial"/>
          <w:shd w:val="clear" w:color="auto" w:fill="FFFFFF"/>
        </w:rPr>
        <w:t>Boardroom Strategies for Financial Institutions </w:t>
      </w:r>
      <w:r w:rsidRPr="00F95EC8">
        <w:rPr>
          <w:rFonts w:ascii="Arial" w:hAnsi="Arial" w:cs="Arial"/>
          <w:shd w:val="clear" w:color="auto" w:fill="FFFFFF"/>
        </w:rPr>
        <w:t>focuses on the relationships among board members and how to be effective inside the boardroom. It is a must have for new and experienced board members. This book is a companion book to </w:t>
      </w:r>
      <w:r w:rsidRPr="00F95EC8">
        <w:rPr>
          <w:rStyle w:val="Emphasis"/>
          <w:rFonts w:ascii="Arial" w:hAnsi="Arial" w:cs="Arial"/>
          <w:shd w:val="clear" w:color="auto" w:fill="FFFFFF"/>
        </w:rPr>
        <w:t>The Ultimate Guide for Bank Directors, Revised Edition.</w:t>
      </w:r>
    </w:p>
    <w:p w14:paraId="4CFDE26E" w14:textId="6E914B0A" w:rsidR="00097780" w:rsidRDefault="009D382D" w:rsidP="00097780">
      <w:pPr>
        <w:shd w:val="clear" w:color="auto" w:fill="FFFFFF"/>
        <w:spacing w:after="0" w:line="240" w:lineRule="auto"/>
        <w:rPr>
          <w:rFonts w:ascii="Arial" w:hAnsi="Arial" w:cs="Arial"/>
          <w:color w:val="005280"/>
        </w:rPr>
      </w:pPr>
      <w:hyperlink r:id="rId14" w:history="1">
        <w:r w:rsidRPr="009D382D">
          <w:rPr>
            <w:rStyle w:val="Hyperlink"/>
            <w:rFonts w:ascii="Arial" w:hAnsi="Arial" w:cs="Arial"/>
          </w:rPr>
          <w:t>Boardroom Strategies for Financial Institutions – Hardcopy Book - Product Details - ICBA.org</w:t>
        </w:r>
      </w:hyperlink>
    </w:p>
    <w:p w14:paraId="48479EBB" w14:textId="77777777" w:rsidR="00347F93" w:rsidRPr="00E3214F" w:rsidRDefault="00347F93" w:rsidP="00097780">
      <w:pPr>
        <w:shd w:val="clear" w:color="auto" w:fill="FFFFFF"/>
        <w:spacing w:after="0" w:line="240" w:lineRule="auto"/>
        <w:rPr>
          <w:rFonts w:ascii="Arial" w:hAnsi="Arial" w:cs="Arial"/>
          <w:color w:val="005280"/>
        </w:rPr>
      </w:pPr>
    </w:p>
    <w:p w14:paraId="39DB5128" w14:textId="05506D4A" w:rsidR="0045466A" w:rsidRPr="00E3214F" w:rsidRDefault="0045466A" w:rsidP="0045466A">
      <w:pPr>
        <w:spacing w:after="0" w:line="240" w:lineRule="auto"/>
        <w:rPr>
          <w:rFonts w:ascii="Arial" w:hAnsi="Arial" w:cs="Arial"/>
          <w:b/>
          <w:bCs/>
          <w:color w:val="005AE0"/>
        </w:rPr>
      </w:pPr>
      <w:r w:rsidRPr="00E3214F">
        <w:rPr>
          <w:rFonts w:ascii="Arial" w:hAnsi="Arial" w:cs="Arial"/>
          <w:b/>
          <w:bCs/>
          <w:color w:val="005AE0"/>
        </w:rPr>
        <w:t>BSA/AML Training Series</w:t>
      </w:r>
    </w:p>
    <w:p w14:paraId="682E86B3" w14:textId="62C5C9E8" w:rsidR="00AB7EE5" w:rsidRPr="00AB7EE5" w:rsidRDefault="00AB7EE5" w:rsidP="00AB7EE5">
      <w:pPr>
        <w:spacing w:after="0" w:line="240" w:lineRule="auto"/>
        <w:rPr>
          <w:rFonts w:ascii="Arial" w:eastAsia="Times New Roman" w:hAnsi="Arial" w:cs="Arial"/>
          <w:color w:val="212529"/>
        </w:rPr>
      </w:pPr>
      <w:r w:rsidRPr="00AB7EE5">
        <w:rPr>
          <w:rFonts w:ascii="Arial" w:eastAsia="Times New Roman" w:hAnsi="Arial" w:cs="Arial"/>
          <w:color w:val="212529"/>
        </w:rPr>
        <w:t>The formal requirements for financial institution compliance under the Bank Secrecy Act (BSA) are significant. With the regulatory agencies committing to tougher and more inclusive BSA/AML examinations, it is important to make certain your BSA/AML program is appropriate for your institution's risk exposure. Gain in-depth knowledge, resources, and peer networks to effectively manage your BSA/AML function or audit this function properly. This comprehensive training covers the primary requirements of each segment of the regulation and offers guidance on best practice expectations in each area.</w:t>
      </w:r>
    </w:p>
    <w:p w14:paraId="592FC62C" w14:textId="22313782" w:rsidR="00B850EB" w:rsidRDefault="00983628" w:rsidP="002B4863">
      <w:pPr>
        <w:pStyle w:val="NormalWeb"/>
        <w:shd w:val="clear" w:color="auto" w:fill="FFFFFF"/>
        <w:spacing w:before="0" w:beforeAutospacing="0" w:after="0" w:afterAutospacing="0"/>
      </w:pPr>
      <w:hyperlink r:id="rId15" w:history="1">
        <w:r w:rsidRPr="00983628">
          <w:rPr>
            <w:rStyle w:val="Hyperlink"/>
            <w:rFonts w:ascii="Arial" w:hAnsi="Arial" w:cs="Arial"/>
            <w:sz w:val="22"/>
            <w:szCs w:val="22"/>
            <w:shd w:val="clear" w:color="auto" w:fill="FFFFFF"/>
          </w:rPr>
          <w:t>BSA/AML Training Series - Product Details - ICBA.org</w:t>
        </w:r>
      </w:hyperlink>
    </w:p>
    <w:p w14:paraId="76F6AD03" w14:textId="77777777" w:rsidR="002B4863" w:rsidRPr="002B4863" w:rsidRDefault="002B4863" w:rsidP="002B4863">
      <w:pPr>
        <w:pStyle w:val="NormalWeb"/>
        <w:shd w:val="clear" w:color="auto" w:fill="FFFFFF"/>
        <w:spacing w:before="0" w:beforeAutospacing="0" w:after="0" w:afterAutospacing="0"/>
        <w:rPr>
          <w:rFonts w:ascii="Arial" w:hAnsi="Arial" w:cs="Arial"/>
          <w:color w:val="212529"/>
          <w:sz w:val="22"/>
          <w:szCs w:val="22"/>
          <w:shd w:val="clear" w:color="auto" w:fill="FFFFFF"/>
        </w:rPr>
      </w:pPr>
    </w:p>
    <w:p w14:paraId="3876A91E" w14:textId="04DE24A0" w:rsidR="00DD36CB" w:rsidRPr="00E3214F" w:rsidRDefault="00DC40E0" w:rsidP="00DD36CB">
      <w:pPr>
        <w:shd w:val="clear" w:color="auto" w:fill="FFFFFF"/>
        <w:spacing w:after="0" w:line="240" w:lineRule="auto"/>
        <w:outlineLvl w:val="0"/>
        <w:rPr>
          <w:rFonts w:ascii="Arial" w:eastAsia="Times New Roman" w:hAnsi="Arial" w:cs="Arial"/>
          <w:b/>
          <w:bCs/>
          <w:color w:val="005AE0"/>
          <w:kern w:val="36"/>
        </w:rPr>
      </w:pPr>
      <w:r w:rsidRPr="00E3214F">
        <w:rPr>
          <w:rFonts w:ascii="Arial" w:hAnsi="Arial" w:cs="Arial"/>
          <w:b/>
          <w:bCs/>
          <w:color w:val="005AE0"/>
        </w:rPr>
        <w:t>Check Your Ad</w:t>
      </w:r>
      <w:r w:rsidR="00E3014D" w:rsidRPr="00E3214F">
        <w:rPr>
          <w:rFonts w:ascii="Arial" w:hAnsi="Arial" w:cs="Arial"/>
          <w:b/>
          <w:bCs/>
          <w:color w:val="005AE0"/>
        </w:rPr>
        <w:t xml:space="preserve"> </w:t>
      </w:r>
    </w:p>
    <w:p w14:paraId="697D5761" w14:textId="50F7409D" w:rsidR="00EC249D" w:rsidRPr="00F95EC8" w:rsidRDefault="00EC249D" w:rsidP="00DD36CB">
      <w:pPr>
        <w:shd w:val="clear" w:color="auto" w:fill="FFFFFF"/>
        <w:spacing w:after="0" w:line="240" w:lineRule="auto"/>
        <w:outlineLvl w:val="0"/>
        <w:rPr>
          <w:rFonts w:ascii="Arial" w:eastAsia="Times New Roman" w:hAnsi="Arial" w:cs="Arial"/>
        </w:rPr>
      </w:pPr>
      <w:r w:rsidRPr="00F95EC8">
        <w:rPr>
          <w:rFonts w:ascii="Arial" w:eastAsia="Times New Roman" w:hAnsi="Arial" w:cs="Arial"/>
        </w:rPr>
        <w:lastRenderedPageBreak/>
        <w:t>The Check Your Ad Program takes the guesswork out of determining the appropriate requirements for deposit and lending advertisements so that you can ensure your advertisements are compliant before an auditor or examiner finds a violation.</w:t>
      </w:r>
    </w:p>
    <w:p w14:paraId="088E23C5" w14:textId="77777777" w:rsidR="00EC249D" w:rsidRPr="00F95EC8" w:rsidRDefault="00EC249D" w:rsidP="00DD36CB">
      <w:pPr>
        <w:shd w:val="clear" w:color="auto" w:fill="FFFFFF"/>
        <w:spacing w:after="0" w:line="240" w:lineRule="auto"/>
        <w:rPr>
          <w:rFonts w:ascii="Arial" w:eastAsia="Times New Roman" w:hAnsi="Arial" w:cs="Arial"/>
        </w:rPr>
      </w:pPr>
      <w:r w:rsidRPr="00F95EC8">
        <w:rPr>
          <w:rFonts w:ascii="Arial" w:hAnsi="Arial" w:cs="Arial"/>
          <w:shd w:val="clear" w:color="auto" w:fill="FFFFFF"/>
        </w:rPr>
        <w:t xml:space="preserve">The advertising requirements of Regulation Z and Regulation DD are convoluted. To ensure that an advertisement complies requires checking and rechecking of the regulations. Check Your Ad simplifies the process! The program walks you through the details of each regulatory requirement based on your type of advertisement. Answer a series of questions to generate a report to know whether the advertisement is compliant or needs revisions to meet regulatory requirements. </w:t>
      </w:r>
    </w:p>
    <w:p w14:paraId="5E8B6DFD" w14:textId="7CB5BEEA" w:rsidR="009D382D" w:rsidRPr="005E3D75" w:rsidRDefault="005E3D75" w:rsidP="00DC40E0">
      <w:pPr>
        <w:shd w:val="clear" w:color="auto" w:fill="FFFFFF"/>
        <w:spacing w:after="0" w:line="240" w:lineRule="auto"/>
        <w:rPr>
          <w:rFonts w:ascii="Arial" w:hAnsi="Arial" w:cs="Arial"/>
          <w:color w:val="005AE0"/>
        </w:rPr>
      </w:pPr>
      <w:hyperlink r:id="rId16" w:history="1">
        <w:r w:rsidRPr="005E3D75">
          <w:rPr>
            <w:rStyle w:val="Hyperlink"/>
            <w:rFonts w:ascii="Arial" w:hAnsi="Arial" w:cs="Arial"/>
          </w:rPr>
          <w:t>Check Your Ad - Product Details - ICBA.org</w:t>
        </w:r>
      </w:hyperlink>
    </w:p>
    <w:p w14:paraId="069D1F79" w14:textId="77777777" w:rsidR="009D382D" w:rsidRDefault="009D382D" w:rsidP="00DC40E0">
      <w:pPr>
        <w:shd w:val="clear" w:color="auto" w:fill="FFFFFF"/>
        <w:spacing w:after="0" w:line="240" w:lineRule="auto"/>
        <w:rPr>
          <w:rFonts w:ascii="Arial" w:hAnsi="Arial" w:cs="Arial"/>
          <w:b/>
          <w:bCs/>
          <w:color w:val="005AE0"/>
        </w:rPr>
      </w:pPr>
    </w:p>
    <w:p w14:paraId="26BC746F" w14:textId="26077195" w:rsidR="008D0753" w:rsidRPr="00E3214F" w:rsidRDefault="008D0753" w:rsidP="00DC40E0">
      <w:pPr>
        <w:shd w:val="clear" w:color="auto" w:fill="FFFFFF"/>
        <w:spacing w:after="0" w:line="240" w:lineRule="auto"/>
        <w:rPr>
          <w:rFonts w:ascii="Arial" w:hAnsi="Arial" w:cs="Arial"/>
          <w:b/>
          <w:bCs/>
          <w:color w:val="005AE0"/>
        </w:rPr>
      </w:pPr>
      <w:r w:rsidRPr="00E3214F">
        <w:rPr>
          <w:rFonts w:ascii="Arial" w:hAnsi="Arial" w:cs="Arial"/>
          <w:b/>
          <w:bCs/>
          <w:color w:val="005AE0"/>
        </w:rPr>
        <w:t>Compliance Desk Book &amp; Bulletin Service</w:t>
      </w:r>
    </w:p>
    <w:p w14:paraId="1AC47F34" w14:textId="77777777" w:rsidR="00983628" w:rsidRPr="00F95EC8" w:rsidRDefault="008415E4" w:rsidP="00DC40E0">
      <w:pPr>
        <w:shd w:val="clear" w:color="auto" w:fill="FFFFFF"/>
        <w:spacing w:after="0" w:line="240" w:lineRule="auto"/>
        <w:rPr>
          <w:rFonts w:ascii="Arial" w:hAnsi="Arial" w:cs="Arial"/>
          <w:shd w:val="clear" w:color="auto" w:fill="FFFFFF"/>
        </w:rPr>
      </w:pPr>
      <w:r w:rsidRPr="00F95EC8">
        <w:rPr>
          <w:rFonts w:ascii="Arial" w:hAnsi="Arial" w:cs="Arial"/>
          <w:shd w:val="clear" w:color="auto" w:fill="FFFFFF"/>
        </w:rPr>
        <w:t xml:space="preserve">The ICBA Compliance </w:t>
      </w:r>
      <w:proofErr w:type="spellStart"/>
      <w:r w:rsidRPr="00F95EC8">
        <w:rPr>
          <w:rFonts w:ascii="Arial" w:hAnsi="Arial" w:cs="Arial"/>
          <w:shd w:val="clear" w:color="auto" w:fill="FFFFFF"/>
        </w:rPr>
        <w:t>Deskbook</w:t>
      </w:r>
      <w:proofErr w:type="spellEnd"/>
      <w:r w:rsidRPr="00F95EC8">
        <w:rPr>
          <w:rFonts w:ascii="Arial" w:hAnsi="Arial" w:cs="Arial"/>
          <w:shd w:val="clear" w:color="auto" w:fill="FFFFFF"/>
        </w:rPr>
        <w:t xml:space="preserve"> is the industry’s premier resource for compliance information. </w:t>
      </w:r>
      <w:r w:rsidR="00BE64BC" w:rsidRPr="00F95EC8">
        <w:rPr>
          <w:rFonts w:ascii="Arial" w:hAnsi="Arial" w:cs="Arial"/>
          <w:shd w:val="clear" w:color="auto" w:fill="FFFFFF"/>
        </w:rPr>
        <w:t>Find everything in one spot</w:t>
      </w:r>
      <w:r w:rsidR="000A4C2B" w:rsidRPr="00F95EC8">
        <w:rPr>
          <w:rFonts w:ascii="Arial" w:hAnsi="Arial" w:cs="Arial"/>
          <w:shd w:val="clear" w:color="auto" w:fill="FFFFFF"/>
        </w:rPr>
        <w:t xml:space="preserve">! </w:t>
      </w:r>
      <w:r w:rsidRPr="00F95EC8">
        <w:rPr>
          <w:rFonts w:ascii="Arial" w:hAnsi="Arial" w:cs="Arial"/>
          <w:shd w:val="clear" w:color="auto" w:fill="FFFFFF"/>
        </w:rPr>
        <w:t>Access regulations, important dates, agency guidance, questionnaires, and other resources in one place.</w:t>
      </w:r>
      <w:r w:rsidR="00F00A82" w:rsidRPr="00F95EC8">
        <w:rPr>
          <w:rFonts w:ascii="Arial" w:hAnsi="Arial" w:cs="Arial"/>
          <w:shd w:val="clear" w:color="auto" w:fill="FFFFFF"/>
        </w:rPr>
        <w:t xml:space="preserve"> You’ll also receive notifications on the la</w:t>
      </w:r>
      <w:r w:rsidR="008565B4" w:rsidRPr="00F95EC8">
        <w:rPr>
          <w:rFonts w:ascii="Arial" w:hAnsi="Arial" w:cs="Arial"/>
          <w:shd w:val="clear" w:color="auto" w:fill="FFFFFF"/>
        </w:rPr>
        <w:t>test updates to existing regulations and new regulations.</w:t>
      </w:r>
    </w:p>
    <w:p w14:paraId="54DDD2B7" w14:textId="396B15DC" w:rsidR="00983628" w:rsidRDefault="00E03AE2" w:rsidP="00DC40E0">
      <w:pPr>
        <w:shd w:val="clear" w:color="auto" w:fill="FFFFFF"/>
        <w:spacing w:after="0" w:line="240" w:lineRule="auto"/>
        <w:rPr>
          <w:rFonts w:ascii="Arial" w:hAnsi="Arial" w:cs="Arial"/>
          <w:color w:val="212529"/>
          <w:shd w:val="clear" w:color="auto" w:fill="FFFFFF"/>
        </w:rPr>
      </w:pPr>
      <w:hyperlink r:id="rId17" w:history="1">
        <w:r w:rsidRPr="00E03AE2">
          <w:rPr>
            <w:rStyle w:val="Hyperlink"/>
            <w:rFonts w:ascii="Arial" w:hAnsi="Arial" w:cs="Arial"/>
            <w:shd w:val="clear" w:color="auto" w:fill="FFFFFF"/>
          </w:rPr>
          <w:t xml:space="preserve">Compliance </w:t>
        </w:r>
        <w:proofErr w:type="spellStart"/>
        <w:r w:rsidRPr="00E03AE2">
          <w:rPr>
            <w:rStyle w:val="Hyperlink"/>
            <w:rFonts w:ascii="Arial" w:hAnsi="Arial" w:cs="Arial"/>
            <w:shd w:val="clear" w:color="auto" w:fill="FFFFFF"/>
          </w:rPr>
          <w:t>Deskbook</w:t>
        </w:r>
        <w:proofErr w:type="spellEnd"/>
        <w:r w:rsidRPr="00E03AE2">
          <w:rPr>
            <w:rStyle w:val="Hyperlink"/>
            <w:rFonts w:ascii="Arial" w:hAnsi="Arial" w:cs="Arial"/>
            <w:shd w:val="clear" w:color="auto" w:fill="FFFFFF"/>
          </w:rPr>
          <w:t xml:space="preserve"> Program - Product Details - ICBA.org</w:t>
        </w:r>
      </w:hyperlink>
    </w:p>
    <w:p w14:paraId="3E70C84C" w14:textId="7F50ABDA" w:rsidR="008D0753" w:rsidRPr="00E3214F" w:rsidRDefault="008565B4" w:rsidP="00DC40E0">
      <w:pPr>
        <w:shd w:val="clear" w:color="auto" w:fill="FFFFFF"/>
        <w:spacing w:after="0" w:line="240" w:lineRule="auto"/>
        <w:rPr>
          <w:rFonts w:ascii="Arial" w:hAnsi="Arial" w:cs="Arial"/>
          <w:color w:val="212529"/>
          <w:shd w:val="clear" w:color="auto" w:fill="FFFFFF"/>
        </w:rPr>
      </w:pPr>
      <w:r w:rsidRPr="00E3214F">
        <w:rPr>
          <w:rFonts w:ascii="Arial" w:hAnsi="Arial" w:cs="Arial"/>
          <w:color w:val="212529"/>
          <w:shd w:val="clear" w:color="auto" w:fill="FFFFFF"/>
        </w:rPr>
        <w:t xml:space="preserve"> </w:t>
      </w:r>
    </w:p>
    <w:p w14:paraId="26DCDEFF" w14:textId="58EAE1F4" w:rsidR="000207EB" w:rsidRPr="00E3214F" w:rsidRDefault="000207EB" w:rsidP="00E0016B">
      <w:pPr>
        <w:shd w:val="clear" w:color="auto" w:fill="FFFFFF"/>
        <w:spacing w:after="0" w:line="240" w:lineRule="auto"/>
        <w:rPr>
          <w:rFonts w:ascii="Arial" w:hAnsi="Arial" w:cs="Arial"/>
          <w:b/>
          <w:bCs/>
          <w:color w:val="005AE0"/>
        </w:rPr>
      </w:pPr>
      <w:r w:rsidRPr="00E3214F">
        <w:rPr>
          <w:rFonts w:ascii="Arial" w:hAnsi="Arial" w:cs="Arial"/>
          <w:b/>
          <w:bCs/>
          <w:color w:val="005AE0"/>
        </w:rPr>
        <w:t>Compliance Working Papers</w:t>
      </w:r>
    </w:p>
    <w:p w14:paraId="2B436BFD" w14:textId="49104D69" w:rsidR="00D9179E" w:rsidRPr="00F95EC8" w:rsidRDefault="00611E0B" w:rsidP="00E0016B">
      <w:pPr>
        <w:spacing w:after="0" w:line="240" w:lineRule="auto"/>
        <w:rPr>
          <w:rFonts w:ascii="Arial" w:hAnsi="Arial" w:cs="Arial"/>
          <w:shd w:val="clear" w:color="auto" w:fill="FFFFFF"/>
        </w:rPr>
      </w:pPr>
      <w:r w:rsidRPr="00F95EC8">
        <w:rPr>
          <w:rFonts w:ascii="Arial" w:hAnsi="Arial" w:cs="Arial"/>
          <w:shd w:val="clear" w:color="auto" w:fill="FFFFFF"/>
        </w:rPr>
        <w:t>The compliance working papers are essential for monitoring your financial institution’s compliance with federal consumer compliance laws and regulations.</w:t>
      </w:r>
      <w:r w:rsidR="00214839" w:rsidRPr="00F95EC8">
        <w:rPr>
          <w:rFonts w:ascii="Arial" w:hAnsi="Arial" w:cs="Arial"/>
          <w:shd w:val="clear" w:color="auto" w:fill="FFFFFF"/>
        </w:rPr>
        <w:t xml:space="preserve"> This electronic resource can be saved to your computer desktop or office network to ensure </w:t>
      </w:r>
      <w:r w:rsidR="00D55D97" w:rsidRPr="00F95EC8">
        <w:rPr>
          <w:rFonts w:ascii="Arial" w:hAnsi="Arial" w:cs="Arial"/>
          <w:shd w:val="clear" w:color="auto" w:fill="FFFFFF"/>
        </w:rPr>
        <w:t>easy access</w:t>
      </w:r>
      <w:r w:rsidR="00214839" w:rsidRPr="00F95EC8">
        <w:rPr>
          <w:rFonts w:ascii="Arial" w:hAnsi="Arial" w:cs="Arial"/>
          <w:shd w:val="clear" w:color="auto" w:fill="FFFFFF"/>
        </w:rPr>
        <w:t xml:space="preserve"> to the compliance working papers and updates.</w:t>
      </w:r>
    </w:p>
    <w:p w14:paraId="52CE3200" w14:textId="77777777" w:rsidR="00214839" w:rsidRPr="00F95EC8" w:rsidRDefault="00214839" w:rsidP="00E0016B">
      <w:pPr>
        <w:spacing w:after="0" w:line="240" w:lineRule="auto"/>
        <w:rPr>
          <w:rFonts w:ascii="Arial" w:hAnsi="Arial" w:cs="Arial"/>
          <w:shd w:val="clear" w:color="auto" w:fill="FFFFFF"/>
        </w:rPr>
      </w:pPr>
    </w:p>
    <w:p w14:paraId="216A6064" w14:textId="401A8F32" w:rsidR="00B269D2" w:rsidRPr="00F95EC8" w:rsidRDefault="00B269D2" w:rsidP="00150A29">
      <w:pPr>
        <w:shd w:val="clear" w:color="auto" w:fill="FFFFFF"/>
        <w:spacing w:after="0" w:line="240" w:lineRule="auto"/>
        <w:rPr>
          <w:rFonts w:ascii="Arial" w:eastAsia="Times New Roman" w:hAnsi="Arial" w:cs="Arial"/>
        </w:rPr>
      </w:pPr>
      <w:r w:rsidRPr="00F95EC8">
        <w:rPr>
          <w:rFonts w:ascii="Arial" w:eastAsia="Times New Roman" w:hAnsi="Arial" w:cs="Arial"/>
        </w:rPr>
        <w:t xml:space="preserve">Compliance working papers topics </w:t>
      </w:r>
      <w:r w:rsidR="00300FD7" w:rsidRPr="00F95EC8">
        <w:rPr>
          <w:rFonts w:ascii="Arial" w:eastAsia="Times New Roman" w:hAnsi="Arial" w:cs="Arial"/>
        </w:rPr>
        <w:t>include</w:t>
      </w:r>
      <w:r w:rsidRPr="00F95EC8">
        <w:rPr>
          <w:rFonts w:ascii="Arial" w:eastAsia="Times New Roman" w:hAnsi="Arial" w:cs="Arial"/>
        </w:rPr>
        <w:t xml:space="preserve"> compliance program management, lending compliance, deposit compliance, BSA/AML compliance, and advertising compliance. Each regulatory topic </w:t>
      </w:r>
      <w:r w:rsidR="00300FD7" w:rsidRPr="00F95EC8">
        <w:rPr>
          <w:rFonts w:ascii="Arial" w:eastAsia="Times New Roman" w:hAnsi="Arial" w:cs="Arial"/>
        </w:rPr>
        <w:t>includes</w:t>
      </w:r>
      <w:r w:rsidRPr="00F95EC8">
        <w:rPr>
          <w:rFonts w:ascii="Arial" w:eastAsia="Times New Roman" w:hAnsi="Arial" w:cs="Arial"/>
        </w:rPr>
        <w:t xml:space="preserve"> a summary of related regulations, action plans, and checklists.</w:t>
      </w:r>
    </w:p>
    <w:p w14:paraId="48F46337" w14:textId="45D1929E" w:rsidR="00611E0B" w:rsidRPr="00E3214F" w:rsidRDefault="00FB5E7F" w:rsidP="00150A29">
      <w:pPr>
        <w:spacing w:after="0" w:line="240" w:lineRule="auto"/>
        <w:rPr>
          <w:rFonts w:ascii="Arial" w:hAnsi="Arial" w:cs="Arial"/>
        </w:rPr>
      </w:pPr>
      <w:hyperlink r:id="rId18" w:history="1">
        <w:r w:rsidRPr="00E3214F">
          <w:rPr>
            <w:rStyle w:val="Hyperlink"/>
            <w:rFonts w:ascii="Arial" w:hAnsi="Arial" w:cs="Arial"/>
          </w:rPr>
          <w:t>Compliance Working Papers (icba.org)</w:t>
        </w:r>
      </w:hyperlink>
    </w:p>
    <w:p w14:paraId="2B781858" w14:textId="5592909B" w:rsidR="00FB5E7F" w:rsidRPr="00E3214F" w:rsidRDefault="00FB5E7F" w:rsidP="00666A9E">
      <w:pPr>
        <w:spacing w:after="0" w:line="240" w:lineRule="auto"/>
        <w:rPr>
          <w:rFonts w:ascii="Arial" w:hAnsi="Arial" w:cs="Arial"/>
          <w:b/>
          <w:bCs/>
          <w:caps/>
          <w:color w:val="595959" w:themeColor="text1" w:themeTint="A6"/>
          <w:shd w:val="clear" w:color="auto" w:fill="FFFFFF"/>
        </w:rPr>
      </w:pPr>
    </w:p>
    <w:p w14:paraId="4DF5BCCA" w14:textId="3A429482" w:rsidR="004B09CD" w:rsidRPr="00E3214F" w:rsidRDefault="004B09CD" w:rsidP="004B09CD">
      <w:pPr>
        <w:spacing w:after="0" w:line="240" w:lineRule="auto"/>
        <w:rPr>
          <w:rFonts w:ascii="Arial" w:hAnsi="Arial" w:cs="Arial"/>
          <w:b/>
          <w:bCs/>
          <w:color w:val="005AE0"/>
        </w:rPr>
      </w:pPr>
      <w:r w:rsidRPr="00E3214F">
        <w:rPr>
          <w:rFonts w:ascii="Arial" w:hAnsi="Arial" w:cs="Arial"/>
          <w:b/>
          <w:bCs/>
          <w:color w:val="005AE0"/>
        </w:rPr>
        <w:t xml:space="preserve">HSA/IRA </w:t>
      </w:r>
      <w:r w:rsidR="00686D0F" w:rsidRPr="00E3214F">
        <w:rPr>
          <w:rFonts w:ascii="Arial" w:hAnsi="Arial" w:cs="Arial"/>
          <w:b/>
          <w:bCs/>
          <w:color w:val="005AE0"/>
        </w:rPr>
        <w:t>Resources</w:t>
      </w:r>
    </w:p>
    <w:p w14:paraId="6208F418" w14:textId="3D306804" w:rsidR="00A5592A" w:rsidRPr="00F95EC8" w:rsidRDefault="00A5592A" w:rsidP="00A5592A">
      <w:pPr>
        <w:pStyle w:val="NormalWeb"/>
        <w:spacing w:before="0" w:beforeAutospacing="0" w:after="0" w:afterAutospacing="0"/>
        <w:rPr>
          <w:rFonts w:ascii="Arial" w:hAnsi="Arial" w:cs="Arial"/>
          <w:sz w:val="22"/>
          <w:szCs w:val="22"/>
        </w:rPr>
      </w:pPr>
      <w:r w:rsidRPr="00F95EC8">
        <w:rPr>
          <w:rFonts w:ascii="Arial" w:hAnsi="Arial" w:cs="Arial"/>
          <w:sz w:val="22"/>
          <w:szCs w:val="22"/>
        </w:rPr>
        <w:t xml:space="preserve">Power your potential with ICBA Education's extensive resources, designed to expertly guide you through intricate IRA and HSA rules. </w:t>
      </w:r>
      <w:r w:rsidR="009B67B5">
        <w:rPr>
          <w:rFonts w:ascii="Arial" w:hAnsi="Arial" w:cs="Arial"/>
          <w:sz w:val="22"/>
          <w:szCs w:val="22"/>
        </w:rPr>
        <w:t>T</w:t>
      </w:r>
      <w:r w:rsidRPr="00F95EC8">
        <w:rPr>
          <w:rFonts w:ascii="Arial" w:hAnsi="Arial" w:cs="Arial"/>
          <w:sz w:val="22"/>
          <w:szCs w:val="22"/>
        </w:rPr>
        <w:t>hese offerings come loaded with an array of valuable tools to enhance your strategic capabilities and minimize your bank's challenges and risks.</w:t>
      </w:r>
    </w:p>
    <w:p w14:paraId="46823BD1" w14:textId="4D70D1CB" w:rsidR="00F873CF" w:rsidRPr="00E3214F" w:rsidRDefault="00F873CF" w:rsidP="00F873CF">
      <w:pPr>
        <w:rPr>
          <w:rFonts w:ascii="Arial" w:hAnsi="Arial" w:cs="Arial"/>
          <w:b/>
          <w:bCs/>
          <w:caps/>
        </w:rPr>
      </w:pPr>
      <w:hyperlink r:id="rId19" w:history="1">
        <w:r w:rsidRPr="00E3214F">
          <w:rPr>
            <w:rStyle w:val="Hyperlink"/>
            <w:rFonts w:ascii="Arial" w:hAnsi="Arial" w:cs="Arial"/>
          </w:rPr>
          <w:t>Resources - ICBA Education (icba.org)</w:t>
        </w:r>
      </w:hyperlink>
    </w:p>
    <w:p w14:paraId="045B24CB" w14:textId="55F43D24" w:rsidR="00A5592A" w:rsidRPr="00300FD7" w:rsidRDefault="00A5592A" w:rsidP="00300FD7">
      <w:pPr>
        <w:pStyle w:val="NormalWeb"/>
        <w:spacing w:before="0" w:beforeAutospacing="0" w:after="0" w:afterAutospacing="0"/>
        <w:ind w:left="720"/>
        <w:rPr>
          <w:rFonts w:ascii="Arial" w:hAnsi="Arial" w:cs="Arial"/>
          <w:color w:val="005AE0"/>
          <w:sz w:val="22"/>
          <w:szCs w:val="22"/>
        </w:rPr>
      </w:pPr>
      <w:hyperlink r:id="rId20" w:tgtFrame="_blank" w:tooltip="https://www.icba.org/all-products/product-details/ira-compliance-operations-manual-32nd-edition?utm_campaign=edu%3a%20products%2fonline%20training&amp;utm_source=hs_email&amp;utm_medium=email&amp;_hsenc=p2anqtz-86hdnmoiqyh_amvejmyj0eurvgass_upylnqiknfapa7uoksxm1iykanr1rqq" w:history="1">
        <w:r w:rsidRPr="00300FD7">
          <w:rPr>
            <w:rStyle w:val="Strong"/>
            <w:rFonts w:ascii="Arial" w:hAnsi="Arial" w:cs="Arial"/>
            <w:color w:val="005AE0"/>
            <w:sz w:val="22"/>
            <w:szCs w:val="22"/>
          </w:rPr>
          <w:t>IRA Compliance &amp; Operations Manual</w:t>
        </w:r>
      </w:hyperlink>
    </w:p>
    <w:p w14:paraId="379F4129" w14:textId="77777777" w:rsidR="00A5592A" w:rsidRPr="00300FD7" w:rsidRDefault="00A5592A" w:rsidP="00300FD7">
      <w:pPr>
        <w:pStyle w:val="NormalWeb"/>
        <w:spacing w:before="0" w:beforeAutospacing="0" w:after="0" w:afterAutospacing="0"/>
        <w:ind w:left="720"/>
        <w:rPr>
          <w:rFonts w:ascii="Arial" w:hAnsi="Arial" w:cs="Arial"/>
          <w:sz w:val="22"/>
          <w:szCs w:val="22"/>
        </w:rPr>
      </w:pPr>
      <w:r w:rsidRPr="00300FD7">
        <w:rPr>
          <w:rFonts w:ascii="Arial" w:hAnsi="Arial" w:cs="Arial"/>
          <w:sz w:val="22"/>
          <w:szCs w:val="22"/>
        </w:rPr>
        <w:t>This manual gives clear explanations on document, withholding, and reporting requirements and addresses legal IRA issues. </w:t>
      </w:r>
    </w:p>
    <w:p w14:paraId="73938B52" w14:textId="77777777" w:rsidR="00A5592A" w:rsidRPr="00300FD7" w:rsidRDefault="00A5592A" w:rsidP="00300FD7">
      <w:pPr>
        <w:pStyle w:val="NormalWeb"/>
        <w:spacing w:before="0" w:beforeAutospacing="0" w:after="0" w:afterAutospacing="0"/>
        <w:ind w:left="720"/>
        <w:rPr>
          <w:rFonts w:ascii="Arial" w:hAnsi="Arial" w:cs="Arial"/>
          <w:color w:val="005AE0"/>
          <w:sz w:val="22"/>
          <w:szCs w:val="22"/>
        </w:rPr>
      </w:pPr>
      <w:hyperlink r:id="rId21" w:tgtFrame="_blank" w:tooltip="https://www.icba.org/all-products/product-details/ira-fact-book-35th-edition?utm_campaign=edu%3a%20products%2fonline%20training&amp;utm_source=hs_email&amp;utm_medium=email&amp;_hsenc=p2anqtz-86hdnmoiqyh_amvejmyj0eurvgass_upylnqiknfapa7uoksxm1iykanr1rqqcq8x888jg" w:history="1">
        <w:r w:rsidRPr="00300FD7">
          <w:rPr>
            <w:rStyle w:val="Strong"/>
            <w:rFonts w:ascii="Arial" w:hAnsi="Arial" w:cs="Arial"/>
            <w:color w:val="005AE0"/>
            <w:sz w:val="22"/>
            <w:szCs w:val="22"/>
          </w:rPr>
          <w:t>IRA Fact Book</w:t>
        </w:r>
      </w:hyperlink>
    </w:p>
    <w:p w14:paraId="7E54C94A" w14:textId="36CD4CAA" w:rsidR="00A5592A" w:rsidRPr="00300FD7" w:rsidRDefault="00A5592A" w:rsidP="00300FD7">
      <w:pPr>
        <w:pStyle w:val="NormalWeb"/>
        <w:spacing w:before="0" w:beforeAutospacing="0" w:after="0" w:afterAutospacing="0"/>
        <w:ind w:left="720"/>
        <w:rPr>
          <w:rFonts w:ascii="Arial" w:hAnsi="Arial" w:cs="Arial"/>
          <w:sz w:val="22"/>
          <w:szCs w:val="22"/>
        </w:rPr>
      </w:pPr>
      <w:r w:rsidRPr="00300FD7">
        <w:rPr>
          <w:rFonts w:ascii="Arial" w:hAnsi="Arial" w:cs="Arial"/>
          <w:sz w:val="22"/>
          <w:szCs w:val="22"/>
        </w:rPr>
        <w:t xml:space="preserve">Find concise answers to some of the more common questions and topics you and your </w:t>
      </w:r>
      <w:proofErr w:type="gramStart"/>
      <w:r w:rsidR="00F873CF" w:rsidRPr="00300FD7">
        <w:rPr>
          <w:rFonts w:ascii="Arial" w:hAnsi="Arial" w:cs="Arial"/>
          <w:sz w:val="22"/>
          <w:szCs w:val="22"/>
        </w:rPr>
        <w:t>colleagues</w:t>
      </w:r>
      <w:proofErr w:type="gramEnd"/>
      <w:r w:rsidRPr="00300FD7">
        <w:rPr>
          <w:rFonts w:ascii="Arial" w:hAnsi="Arial" w:cs="Arial"/>
          <w:sz w:val="22"/>
          <w:szCs w:val="22"/>
        </w:rPr>
        <w:t xml:space="preserve"> field from clients on a day-to-day basis. </w:t>
      </w:r>
    </w:p>
    <w:p w14:paraId="15BB0981" w14:textId="77777777" w:rsidR="00A5592A" w:rsidRPr="00300FD7" w:rsidRDefault="00A5592A" w:rsidP="00300FD7">
      <w:pPr>
        <w:pStyle w:val="NormalWeb"/>
        <w:spacing w:before="0" w:beforeAutospacing="0" w:after="0" w:afterAutospacing="0"/>
        <w:ind w:left="720"/>
        <w:rPr>
          <w:rFonts w:ascii="Arial" w:hAnsi="Arial" w:cs="Arial"/>
          <w:color w:val="005AE0"/>
          <w:sz w:val="22"/>
          <w:szCs w:val="22"/>
        </w:rPr>
      </w:pPr>
      <w:hyperlink r:id="rId22" w:tgtFrame="_blank" w:tooltip="https://www.icba.org/all-products/product-details/ira-training-organizer-student-guide-15th-edition?utm_campaign=edu%3a%20products%2fonline%20training&amp;utm_source=hs_email&amp;utm_medium=email&amp;_hsenc=p2anqtz-86hdnmoiqyh_amvejmyj0eurvgass_upylnqiknfapa7uoksxm1iykanr" w:history="1">
        <w:r w:rsidRPr="00300FD7">
          <w:rPr>
            <w:rStyle w:val="Strong"/>
            <w:rFonts w:ascii="Arial" w:hAnsi="Arial" w:cs="Arial"/>
            <w:color w:val="005AE0"/>
            <w:sz w:val="22"/>
            <w:szCs w:val="22"/>
          </w:rPr>
          <w:t>IRA Training Organizer</w:t>
        </w:r>
      </w:hyperlink>
    </w:p>
    <w:p w14:paraId="436869D0" w14:textId="77777777" w:rsidR="00A5592A" w:rsidRPr="00300FD7" w:rsidRDefault="00A5592A" w:rsidP="00300FD7">
      <w:pPr>
        <w:pStyle w:val="NormalWeb"/>
        <w:spacing w:before="0" w:beforeAutospacing="0" w:after="0" w:afterAutospacing="0"/>
        <w:ind w:left="720"/>
        <w:rPr>
          <w:rFonts w:ascii="Arial" w:hAnsi="Arial" w:cs="Arial"/>
          <w:sz w:val="22"/>
          <w:szCs w:val="22"/>
        </w:rPr>
      </w:pPr>
      <w:r w:rsidRPr="00300FD7">
        <w:rPr>
          <w:rFonts w:ascii="Arial" w:hAnsi="Arial" w:cs="Arial"/>
          <w:sz w:val="22"/>
          <w:szCs w:val="22"/>
        </w:rPr>
        <w:t>This toolkit includes everything you need to deliver customized, basic IRA training. You’ll get instructions, training tips, activities, tests, a PowerPoint presentation, and more. </w:t>
      </w:r>
    </w:p>
    <w:p w14:paraId="17B02323" w14:textId="77777777" w:rsidR="00A5592A" w:rsidRPr="00300FD7" w:rsidRDefault="00A5592A" w:rsidP="00300FD7">
      <w:pPr>
        <w:pStyle w:val="NormalWeb"/>
        <w:spacing w:before="0" w:beforeAutospacing="0" w:after="0" w:afterAutospacing="0"/>
        <w:ind w:left="720"/>
        <w:rPr>
          <w:rFonts w:ascii="Arial" w:hAnsi="Arial" w:cs="Arial"/>
          <w:color w:val="005AE0"/>
          <w:sz w:val="22"/>
          <w:szCs w:val="22"/>
        </w:rPr>
      </w:pPr>
      <w:hyperlink r:id="rId23" w:tgtFrame="_blank" w:tooltip="https://www.icba.org/all-products/product-details/hsa-desktop-guide-21st-edition?utm_campaign=edu%3a%20products%2fonline%20training&amp;utm_source=hs_email&amp;utm_medium=email&amp;_hsenc=p2anqtz-86hdnmoiqyh_amvejmyj0eurvgass_upylnqiknfapa7uoksxm1iykanr1rqqcq8x888jg" w:history="1">
        <w:r w:rsidRPr="00300FD7">
          <w:rPr>
            <w:rStyle w:val="Strong"/>
            <w:rFonts w:ascii="Arial" w:hAnsi="Arial" w:cs="Arial"/>
            <w:color w:val="005AE0"/>
            <w:sz w:val="22"/>
            <w:szCs w:val="22"/>
          </w:rPr>
          <w:t>Desktop Guide to Health Savings Accounts</w:t>
        </w:r>
      </w:hyperlink>
    </w:p>
    <w:p w14:paraId="5B40AFA2" w14:textId="57EC5E23" w:rsidR="00A5592A" w:rsidRPr="00300FD7" w:rsidRDefault="00A5592A" w:rsidP="00300FD7">
      <w:pPr>
        <w:pStyle w:val="NormalWeb"/>
        <w:spacing w:before="0" w:beforeAutospacing="0" w:after="0" w:afterAutospacing="0"/>
        <w:ind w:left="720"/>
        <w:rPr>
          <w:rFonts w:ascii="Arial" w:hAnsi="Arial" w:cs="Arial"/>
          <w:sz w:val="22"/>
          <w:szCs w:val="22"/>
        </w:rPr>
      </w:pPr>
      <w:r w:rsidRPr="00300FD7">
        <w:rPr>
          <w:rFonts w:ascii="Arial" w:hAnsi="Arial" w:cs="Arial"/>
          <w:sz w:val="22"/>
          <w:szCs w:val="22"/>
        </w:rPr>
        <w:t>The basics of HSAs are covered in an easy-to-read, question-and-answer format</w:t>
      </w:r>
      <w:r w:rsidR="00A919DC" w:rsidRPr="00300FD7">
        <w:rPr>
          <w:rFonts w:ascii="Arial" w:hAnsi="Arial" w:cs="Arial"/>
          <w:sz w:val="22"/>
          <w:szCs w:val="22"/>
        </w:rPr>
        <w:t xml:space="preserve">. </w:t>
      </w:r>
    </w:p>
    <w:p w14:paraId="5B9EC359" w14:textId="77777777" w:rsidR="00A5592A" w:rsidRPr="00300FD7" w:rsidRDefault="00A5592A" w:rsidP="00300FD7">
      <w:pPr>
        <w:pStyle w:val="NormalWeb"/>
        <w:spacing w:before="0" w:beforeAutospacing="0" w:after="0" w:afterAutospacing="0"/>
        <w:ind w:left="720"/>
        <w:rPr>
          <w:rFonts w:ascii="Arial" w:hAnsi="Arial" w:cs="Arial"/>
          <w:color w:val="005AE0"/>
          <w:sz w:val="22"/>
          <w:szCs w:val="22"/>
        </w:rPr>
      </w:pPr>
      <w:hyperlink r:id="rId24" w:tgtFrame="_blank" w:tooltip="https://www.icba.org/all-products/product-details/hsa-compliance-operations-manual-17th-edition?utm_campaign=edu%3a%20products%2fonline%20training&amp;utm_source=hs_email&amp;utm_medium=email&amp;_hsenc=p2anqtz-86hdnmoiqyh_amvejmyj0eurvgass_upylnqiknfapa7uoksxm1iykanr1rqq" w:history="1">
        <w:r w:rsidRPr="00300FD7">
          <w:rPr>
            <w:rStyle w:val="Strong"/>
            <w:rFonts w:ascii="Arial" w:hAnsi="Arial" w:cs="Arial"/>
            <w:color w:val="005AE0"/>
            <w:sz w:val="22"/>
            <w:szCs w:val="22"/>
          </w:rPr>
          <w:t>Health Savings Account Compliance &amp; Operations Manual</w:t>
        </w:r>
      </w:hyperlink>
    </w:p>
    <w:p w14:paraId="74B923F1" w14:textId="77777777" w:rsidR="00A5592A" w:rsidRPr="00300FD7" w:rsidRDefault="00A5592A" w:rsidP="00300FD7">
      <w:pPr>
        <w:pStyle w:val="NormalWeb"/>
        <w:spacing w:before="0" w:beforeAutospacing="0" w:after="0" w:afterAutospacing="0"/>
        <w:ind w:left="720"/>
        <w:rPr>
          <w:rFonts w:ascii="Arial" w:hAnsi="Arial" w:cs="Arial"/>
          <w:sz w:val="22"/>
          <w:szCs w:val="22"/>
        </w:rPr>
      </w:pPr>
      <w:r w:rsidRPr="00300FD7">
        <w:rPr>
          <w:rFonts w:ascii="Arial" w:hAnsi="Arial" w:cs="Arial"/>
          <w:sz w:val="22"/>
          <w:szCs w:val="22"/>
        </w:rPr>
        <w:t>This manual gives clear explanations on HSA eligibility, document, contribution, distribution, and reporting requirements. </w:t>
      </w:r>
    </w:p>
    <w:p w14:paraId="7DA4C2FE" w14:textId="77777777" w:rsidR="00A5592A" w:rsidRPr="00300FD7" w:rsidRDefault="00A5592A" w:rsidP="00300FD7">
      <w:pPr>
        <w:pStyle w:val="NormalWeb"/>
        <w:spacing w:before="0" w:beforeAutospacing="0" w:after="0" w:afterAutospacing="0"/>
        <w:ind w:left="720"/>
        <w:rPr>
          <w:rFonts w:ascii="Arial" w:hAnsi="Arial" w:cs="Arial"/>
          <w:color w:val="005AE0"/>
          <w:sz w:val="22"/>
          <w:szCs w:val="22"/>
        </w:rPr>
      </w:pPr>
      <w:hyperlink r:id="rId25" w:tgtFrame="_blank" w:tooltip="https://www.icba.org/all-products/product-details/hsa-training-organizer-student-guide-14th-edition?utm_campaign=edu%3a%20products%2fonline%20training&amp;utm_source=hs_email&amp;utm_medium=email&amp;_hsenc=p2anqtz-86hdnmoiqyh_amvejmyj0eurvgass_upylnqiknfapa7uoksxm1iykanr" w:history="1">
        <w:r w:rsidRPr="00300FD7">
          <w:rPr>
            <w:rStyle w:val="Strong"/>
            <w:rFonts w:ascii="Arial" w:hAnsi="Arial" w:cs="Arial"/>
            <w:color w:val="005AE0"/>
            <w:sz w:val="22"/>
            <w:szCs w:val="22"/>
          </w:rPr>
          <w:t>Health Savings Account Training Organizer</w:t>
        </w:r>
      </w:hyperlink>
    </w:p>
    <w:p w14:paraId="34D98096" w14:textId="77777777" w:rsidR="00A5592A" w:rsidRPr="00300FD7" w:rsidRDefault="00A5592A" w:rsidP="00300FD7">
      <w:pPr>
        <w:pStyle w:val="NormalWeb"/>
        <w:spacing w:before="0" w:beforeAutospacing="0" w:after="0" w:afterAutospacing="0"/>
        <w:ind w:left="720"/>
        <w:rPr>
          <w:rFonts w:ascii="Arial" w:hAnsi="Arial" w:cs="Arial"/>
          <w:sz w:val="22"/>
          <w:szCs w:val="22"/>
        </w:rPr>
      </w:pPr>
      <w:r w:rsidRPr="00300FD7">
        <w:rPr>
          <w:rFonts w:ascii="Arial" w:hAnsi="Arial" w:cs="Arial"/>
          <w:sz w:val="22"/>
          <w:szCs w:val="22"/>
        </w:rPr>
        <w:t>Train like the experts with the HSA Training Organizer. This toolkit includes everything you need to deliver customized, basic HSA training. </w:t>
      </w:r>
    </w:p>
    <w:p w14:paraId="0351F6D2" w14:textId="77777777" w:rsidR="00B47320" w:rsidRPr="00E3214F" w:rsidRDefault="00B47320" w:rsidP="00F873CF">
      <w:pPr>
        <w:pStyle w:val="NormalWeb"/>
        <w:spacing w:before="0" w:beforeAutospacing="0" w:after="0" w:afterAutospacing="0"/>
        <w:ind w:left="720"/>
        <w:rPr>
          <w:rFonts w:ascii="Arial" w:hAnsi="Arial" w:cs="Arial"/>
          <w:sz w:val="22"/>
          <w:szCs w:val="22"/>
        </w:rPr>
      </w:pPr>
    </w:p>
    <w:p w14:paraId="317B47E9" w14:textId="77777777" w:rsidR="00C64E4C" w:rsidRPr="00E3214F" w:rsidRDefault="00C64E4C" w:rsidP="00680C5E">
      <w:pPr>
        <w:shd w:val="clear" w:color="auto" w:fill="FFFFFF"/>
        <w:spacing w:after="0" w:line="240" w:lineRule="auto"/>
        <w:rPr>
          <w:rFonts w:ascii="Arial" w:hAnsi="Arial" w:cs="Arial"/>
          <w:b/>
          <w:bCs/>
          <w:color w:val="005AE0"/>
        </w:rPr>
      </w:pPr>
      <w:r w:rsidRPr="00E3214F">
        <w:rPr>
          <w:rFonts w:ascii="Arial" w:hAnsi="Arial" w:cs="Arial"/>
          <w:b/>
          <w:bCs/>
          <w:color w:val="005AE0"/>
        </w:rPr>
        <w:t>Th</w:t>
      </w:r>
      <w:r w:rsidR="00B47320" w:rsidRPr="00E3214F">
        <w:rPr>
          <w:rFonts w:ascii="Arial" w:hAnsi="Arial" w:cs="Arial"/>
          <w:b/>
          <w:bCs/>
          <w:color w:val="005AE0"/>
        </w:rPr>
        <w:t xml:space="preserve">e Professional Development Planner </w:t>
      </w:r>
    </w:p>
    <w:p w14:paraId="78A132C3" w14:textId="77777777" w:rsidR="0092434F" w:rsidRPr="00F95EC8" w:rsidRDefault="00680C5E" w:rsidP="00C514EA">
      <w:pPr>
        <w:shd w:val="clear" w:color="auto" w:fill="FFFFFF"/>
        <w:spacing w:after="0" w:line="240" w:lineRule="auto"/>
        <w:rPr>
          <w:rFonts w:ascii="Arial" w:eastAsia="Times New Roman" w:hAnsi="Arial" w:cs="Arial"/>
        </w:rPr>
      </w:pPr>
      <w:r w:rsidRPr="00F95EC8">
        <w:rPr>
          <w:rFonts w:ascii="Arial" w:eastAsia="Times New Roman" w:hAnsi="Arial" w:cs="Arial"/>
        </w:rPr>
        <w:t>The Professional Development Planner offers a detailed overview of more than 80 community bank job descriptions and assists employees in exploring and shaping their careers by outlining the experience, skills, and competencies needed to achieve their professional goals.</w:t>
      </w:r>
    </w:p>
    <w:p w14:paraId="7CC0F5CD" w14:textId="77777777" w:rsidR="0092434F" w:rsidRPr="00F95EC8" w:rsidRDefault="0092434F" w:rsidP="00C514EA">
      <w:pPr>
        <w:shd w:val="clear" w:color="auto" w:fill="FFFFFF"/>
        <w:spacing w:after="0" w:line="240" w:lineRule="auto"/>
        <w:rPr>
          <w:rFonts w:ascii="Arial" w:eastAsia="Times New Roman" w:hAnsi="Arial" w:cs="Arial"/>
        </w:rPr>
      </w:pPr>
    </w:p>
    <w:p w14:paraId="0E093801" w14:textId="42E5963A" w:rsidR="00680C5E" w:rsidRPr="00F95EC8" w:rsidRDefault="00680C5E" w:rsidP="00C514EA">
      <w:pPr>
        <w:shd w:val="clear" w:color="auto" w:fill="FFFFFF"/>
        <w:spacing w:after="0" w:line="240" w:lineRule="auto"/>
        <w:rPr>
          <w:rFonts w:ascii="Arial" w:eastAsia="Times New Roman" w:hAnsi="Arial" w:cs="Arial"/>
        </w:rPr>
      </w:pPr>
      <w:r w:rsidRPr="00F95EC8">
        <w:rPr>
          <w:rFonts w:ascii="Arial" w:eastAsia="Times New Roman" w:hAnsi="Arial" w:cs="Arial"/>
        </w:rPr>
        <w:t>Accessible online, the Professional Development Planner allows users to research areas of interest, job functions, and associated levels of responsibility. Once a selection is made, the tool generates the qualifications, competencies, specialized knowledge, and on-the-job learning experience needed to qualify for a position. The tool further guides managers and staff by recommending specific training resources, providing clear direction on how to acquire the competencies required for each position.</w:t>
      </w:r>
      <w:r w:rsidR="00DC75D5" w:rsidRPr="00F95EC8">
        <w:rPr>
          <w:rFonts w:ascii="Arial" w:eastAsia="Times New Roman" w:hAnsi="Arial" w:cs="Arial"/>
        </w:rPr>
        <w:t xml:space="preserve"> Invest in your team </w:t>
      </w:r>
      <w:r w:rsidR="0098328D" w:rsidRPr="00F95EC8">
        <w:rPr>
          <w:rFonts w:ascii="Arial" w:eastAsia="Times New Roman" w:hAnsi="Arial" w:cs="Arial"/>
        </w:rPr>
        <w:t>while</w:t>
      </w:r>
      <w:r w:rsidR="00B811C7" w:rsidRPr="00F95EC8">
        <w:rPr>
          <w:rFonts w:ascii="Arial" w:eastAsia="Times New Roman" w:hAnsi="Arial" w:cs="Arial"/>
        </w:rPr>
        <w:t xml:space="preserve"> </w:t>
      </w:r>
      <w:r w:rsidR="00AD6A6C" w:rsidRPr="00F95EC8">
        <w:rPr>
          <w:rFonts w:ascii="Arial" w:eastAsia="Times New Roman" w:hAnsi="Arial" w:cs="Arial"/>
        </w:rPr>
        <w:t>together realizing</w:t>
      </w:r>
      <w:r w:rsidR="00B811C7" w:rsidRPr="00F95EC8">
        <w:rPr>
          <w:rFonts w:ascii="Arial" w:eastAsia="Times New Roman" w:hAnsi="Arial" w:cs="Arial"/>
        </w:rPr>
        <w:t xml:space="preserve"> benefits for your ban</w:t>
      </w:r>
      <w:r w:rsidR="00F04949" w:rsidRPr="00F95EC8">
        <w:rPr>
          <w:rFonts w:ascii="Arial" w:eastAsia="Times New Roman" w:hAnsi="Arial" w:cs="Arial"/>
        </w:rPr>
        <w:t>k</w:t>
      </w:r>
      <w:r w:rsidR="00AD6A6C" w:rsidRPr="00F95EC8">
        <w:rPr>
          <w:rFonts w:ascii="Arial" w:eastAsia="Times New Roman" w:hAnsi="Arial" w:cs="Arial"/>
        </w:rPr>
        <w:t>.</w:t>
      </w:r>
    </w:p>
    <w:p w14:paraId="638E1CD8" w14:textId="7E4EAE14" w:rsidR="008D529C" w:rsidRPr="00E3214F" w:rsidRDefault="006D3DE2" w:rsidP="00C514EA">
      <w:pPr>
        <w:shd w:val="clear" w:color="auto" w:fill="FFFFFF"/>
        <w:spacing w:after="0" w:line="240" w:lineRule="auto"/>
        <w:rPr>
          <w:rFonts w:ascii="Arial" w:eastAsia="Times New Roman" w:hAnsi="Arial" w:cs="Arial"/>
        </w:rPr>
      </w:pPr>
      <w:hyperlink r:id="rId26" w:history="1">
        <w:r w:rsidRPr="00E3214F">
          <w:rPr>
            <w:rStyle w:val="Hyperlink"/>
            <w:rFonts w:ascii="Arial" w:eastAsia="Times New Roman" w:hAnsi="Arial" w:cs="Arial"/>
          </w:rPr>
          <w:t>Professional Development Planner</w:t>
        </w:r>
      </w:hyperlink>
    </w:p>
    <w:p w14:paraId="02B11A75" w14:textId="77777777" w:rsidR="00387F51" w:rsidRPr="00E3214F" w:rsidRDefault="00387F51" w:rsidP="00D027A6">
      <w:pPr>
        <w:pStyle w:val="NormalWeb"/>
        <w:shd w:val="clear" w:color="auto" w:fill="FFFFFF"/>
        <w:spacing w:before="0" w:beforeAutospacing="0" w:after="0" w:afterAutospacing="0"/>
        <w:rPr>
          <w:rStyle w:val="Hyperlink"/>
          <w:rFonts w:ascii="Arial" w:hAnsi="Arial" w:cs="Arial"/>
          <w:color w:val="auto"/>
          <w:sz w:val="22"/>
          <w:szCs w:val="22"/>
          <w:u w:val="none"/>
        </w:rPr>
      </w:pPr>
    </w:p>
    <w:sectPr w:rsidR="00387F51" w:rsidRPr="00E3214F" w:rsidSect="00B850EB">
      <w:headerReference w:type="default" r:id="rId27"/>
      <w:footerReference w:type="default" r:id="rId28"/>
      <w:pgSz w:w="12240" w:h="15840"/>
      <w:pgMar w:top="1440" w:right="1440" w:bottom="13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AC1A" w14:textId="77777777" w:rsidR="00FF0CE6" w:rsidRDefault="00FF0CE6" w:rsidP="00AD0BDE">
      <w:pPr>
        <w:spacing w:after="0" w:line="240" w:lineRule="auto"/>
      </w:pPr>
      <w:r>
        <w:separator/>
      </w:r>
    </w:p>
  </w:endnote>
  <w:endnote w:type="continuationSeparator" w:id="0">
    <w:p w14:paraId="4344E256" w14:textId="77777777" w:rsidR="00FF0CE6" w:rsidRDefault="00FF0CE6" w:rsidP="00AD0BDE">
      <w:pPr>
        <w:spacing w:after="0" w:line="240" w:lineRule="auto"/>
      </w:pPr>
      <w:r>
        <w:continuationSeparator/>
      </w:r>
    </w:p>
  </w:endnote>
  <w:endnote w:type="continuationNotice" w:id="1">
    <w:p w14:paraId="0E4D5EFA" w14:textId="77777777" w:rsidR="00FF0CE6" w:rsidRDefault="00FF0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495334"/>
      <w:docPartObj>
        <w:docPartGallery w:val="Page Numbers (Bottom of Page)"/>
        <w:docPartUnique/>
      </w:docPartObj>
    </w:sdtPr>
    <w:sdtEndPr>
      <w:rPr>
        <w:noProof/>
      </w:rPr>
    </w:sdtEndPr>
    <w:sdtContent>
      <w:p w14:paraId="6D50456A" w14:textId="77777777" w:rsidR="004F3893" w:rsidRDefault="004F3893" w:rsidP="004F3893">
        <w:pPr>
          <w:spacing w:after="0" w:line="240" w:lineRule="auto"/>
          <w:jc w:val="center"/>
          <w:rPr>
            <w:noProof/>
            <w:sz w:val="18"/>
            <w:szCs w:val="18"/>
          </w:rPr>
        </w:pPr>
        <w:r w:rsidRPr="004F3893">
          <w:rPr>
            <w:sz w:val="16"/>
            <w:szCs w:val="16"/>
          </w:rPr>
          <w:fldChar w:fldCharType="begin"/>
        </w:r>
        <w:r w:rsidRPr="004F3893">
          <w:rPr>
            <w:sz w:val="16"/>
            <w:szCs w:val="16"/>
          </w:rPr>
          <w:instrText xml:space="preserve"> PAGE   \* MERGEFORMAT </w:instrText>
        </w:r>
        <w:r w:rsidRPr="004F3893">
          <w:rPr>
            <w:sz w:val="16"/>
            <w:szCs w:val="16"/>
          </w:rPr>
          <w:fldChar w:fldCharType="separate"/>
        </w:r>
        <w:r w:rsidRPr="004F3893">
          <w:rPr>
            <w:noProof/>
            <w:sz w:val="16"/>
            <w:szCs w:val="16"/>
          </w:rPr>
          <w:t>2</w:t>
        </w:r>
        <w:r w:rsidRPr="004F3893">
          <w:rPr>
            <w:noProof/>
            <w:sz w:val="16"/>
            <w:szCs w:val="16"/>
          </w:rPr>
          <w:fldChar w:fldCharType="end"/>
        </w:r>
        <w:r w:rsidRPr="004F3893">
          <w:rPr>
            <w:noProof/>
            <w:sz w:val="16"/>
            <w:szCs w:val="16"/>
          </w:rPr>
          <w:t xml:space="preserve">     </w:t>
        </w:r>
        <w:r w:rsidRPr="004F3893">
          <w:rPr>
            <w:noProof/>
            <w:sz w:val="18"/>
            <w:szCs w:val="18"/>
          </w:rPr>
          <w:t xml:space="preserve">        </w:t>
        </w:r>
      </w:p>
      <w:p w14:paraId="5F7E3869" w14:textId="77777777" w:rsidR="002C5A33" w:rsidRDefault="004F3893" w:rsidP="00CD2A74">
        <w:pPr>
          <w:spacing w:after="0" w:line="240" w:lineRule="auto"/>
          <w:jc w:val="center"/>
          <w:rPr>
            <w:rFonts w:hAnsi="Calibri"/>
            <w:color w:val="000000" w:themeColor="text1"/>
            <w:kern w:val="24"/>
            <w:sz w:val="18"/>
            <w:szCs w:val="18"/>
          </w:rPr>
        </w:pPr>
        <w:r w:rsidRPr="004F3893">
          <w:rPr>
            <w:rFonts w:hAnsi="Calibri"/>
            <w:color w:val="000000" w:themeColor="text1"/>
            <w:kern w:val="24"/>
            <w:sz w:val="18"/>
            <w:szCs w:val="18"/>
          </w:rPr>
          <w:t>Confidential – For ICBA and CCBA use only</w:t>
        </w:r>
        <w:r w:rsidR="00D6048D">
          <w:rPr>
            <w:rFonts w:hAnsi="Calibri"/>
            <w:color w:val="000000" w:themeColor="text1"/>
            <w:kern w:val="24"/>
            <w:sz w:val="18"/>
            <w:szCs w:val="18"/>
          </w:rPr>
          <w:t xml:space="preserve">. </w:t>
        </w:r>
      </w:p>
      <w:p w14:paraId="0C7FF784" w14:textId="2B6F05D6" w:rsidR="00AD0BDE" w:rsidRPr="00CD2A74" w:rsidRDefault="00D6048D" w:rsidP="00CD2A74">
        <w:pPr>
          <w:spacing w:after="0" w:line="240" w:lineRule="auto"/>
          <w:jc w:val="center"/>
          <w:rPr>
            <w:noProof/>
            <w:sz w:val="18"/>
            <w:szCs w:val="18"/>
          </w:rPr>
        </w:pPr>
        <w:r>
          <w:rPr>
            <w:rFonts w:hAnsi="Calibri"/>
            <w:color w:val="000000" w:themeColor="text1"/>
            <w:kern w:val="24"/>
            <w:sz w:val="18"/>
            <w:szCs w:val="18"/>
          </w:rPr>
          <w:t xml:space="preserve">Revised </w:t>
        </w:r>
        <w:r w:rsidR="00225115">
          <w:rPr>
            <w:rFonts w:hAnsi="Calibri"/>
            <w:color w:val="000000" w:themeColor="text1"/>
            <w:kern w:val="24"/>
            <w:sz w:val="18"/>
            <w:szCs w:val="18"/>
          </w:rPr>
          <w:t>1</w:t>
        </w:r>
        <w:r w:rsidR="0030343D">
          <w:rPr>
            <w:rFonts w:hAnsi="Calibri"/>
            <w:color w:val="000000" w:themeColor="text1"/>
            <w:kern w:val="24"/>
            <w:sz w:val="18"/>
            <w:szCs w:val="18"/>
          </w:rPr>
          <w:t>.</w:t>
        </w:r>
        <w:r w:rsidR="00201A87">
          <w:rPr>
            <w:rFonts w:hAnsi="Calibri"/>
            <w:color w:val="000000" w:themeColor="text1"/>
            <w:kern w:val="24"/>
            <w:sz w:val="18"/>
            <w:szCs w:val="18"/>
          </w:rPr>
          <w:t>9</w:t>
        </w:r>
        <w:r w:rsidR="0030343D">
          <w:rPr>
            <w:rFonts w:hAnsi="Calibri"/>
            <w:color w:val="000000" w:themeColor="text1"/>
            <w:kern w:val="24"/>
            <w:sz w:val="18"/>
            <w:szCs w:val="18"/>
          </w:rPr>
          <w:t>.2026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6427" w14:textId="77777777" w:rsidR="00FF0CE6" w:rsidRDefault="00FF0CE6" w:rsidP="00AD0BDE">
      <w:pPr>
        <w:spacing w:after="0" w:line="240" w:lineRule="auto"/>
      </w:pPr>
      <w:r>
        <w:separator/>
      </w:r>
    </w:p>
  </w:footnote>
  <w:footnote w:type="continuationSeparator" w:id="0">
    <w:p w14:paraId="5A34B44A" w14:textId="77777777" w:rsidR="00FF0CE6" w:rsidRDefault="00FF0CE6" w:rsidP="00AD0BDE">
      <w:pPr>
        <w:spacing w:after="0" w:line="240" w:lineRule="auto"/>
      </w:pPr>
      <w:r>
        <w:continuationSeparator/>
      </w:r>
    </w:p>
  </w:footnote>
  <w:footnote w:type="continuationNotice" w:id="1">
    <w:p w14:paraId="0C57E580" w14:textId="77777777" w:rsidR="00FF0CE6" w:rsidRDefault="00FF0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18C6" w14:textId="3A631AD6" w:rsidR="0008399E" w:rsidRDefault="00A67570" w:rsidP="00600004">
    <w:pPr>
      <w:pStyle w:val="Header"/>
      <w:ind w:left="2160"/>
    </w:pPr>
    <w:r w:rsidRPr="00672ACF">
      <w:rPr>
        <w:noProof/>
        <w:color w:val="000000" w:themeColor="text1"/>
      </w:rPr>
      <w:drawing>
        <wp:anchor distT="0" distB="0" distL="114300" distR="114300" simplePos="0" relativeHeight="251659264" behindDoc="0" locked="0" layoutInCell="1" allowOverlap="1" wp14:anchorId="50A8845A" wp14:editId="46E0B18C">
          <wp:simplePos x="0" y="0"/>
          <wp:positionH relativeFrom="column">
            <wp:posOffset>4233</wp:posOffset>
          </wp:positionH>
          <wp:positionV relativeFrom="paragraph">
            <wp:posOffset>-297180</wp:posOffset>
          </wp:positionV>
          <wp:extent cx="1339850" cy="591910"/>
          <wp:effectExtent l="0" t="0" r="0" b="0"/>
          <wp:wrapNone/>
          <wp:docPr id="182440597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4149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9850" cy="591910"/>
                  </a:xfrm>
                  <a:prstGeom prst="rect">
                    <a:avLst/>
                  </a:prstGeom>
                </pic:spPr>
              </pic:pic>
            </a:graphicData>
          </a:graphic>
          <wp14:sizeRelH relativeFrom="page">
            <wp14:pctWidth>0</wp14:pctWidth>
          </wp14:sizeRelH>
          <wp14:sizeRelV relativeFrom="page">
            <wp14:pctHeight>0</wp14:pctHeight>
          </wp14:sizeRelV>
        </wp:anchor>
      </w:drawing>
    </w:r>
    <w:r w:rsidR="00600004">
      <w:rPr>
        <w:rFonts w:cstheme="minorHAnsi"/>
        <w:b/>
        <w:bCs/>
        <w:caps/>
        <w:sz w:val="24"/>
        <w:szCs w:val="24"/>
      </w:rPr>
      <w:t xml:space="preserve">                             </w:t>
    </w:r>
    <w:r w:rsidR="00440C6B" w:rsidRPr="00C64DFE">
      <w:rPr>
        <w:rFonts w:cstheme="minorHAnsi"/>
        <w:b/>
        <w:bCs/>
        <w:caps/>
        <w:sz w:val="24"/>
        <w:szCs w:val="24"/>
      </w:rPr>
      <w:t xml:space="preserve">Resources </w:t>
    </w:r>
    <w:r w:rsidR="008C0DC5">
      <w:rPr>
        <w:rFonts w:cstheme="minorHAnsi"/>
        <w:b/>
        <w:bCs/>
        <w:caps/>
        <w:sz w:val="24"/>
        <w:szCs w:val="24"/>
      </w:rPr>
      <w:t>202</w:t>
    </w:r>
    <w:r w:rsidR="007C7FDD">
      <w:rPr>
        <w:rFonts w:cstheme="minorHAnsi"/>
        <w:b/>
        <w:bCs/>
        <w:caps/>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B75"/>
    <w:multiLevelType w:val="multilevel"/>
    <w:tmpl w:val="E10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A4F83"/>
    <w:multiLevelType w:val="multilevel"/>
    <w:tmpl w:val="4CC6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F0412"/>
    <w:multiLevelType w:val="hybridMultilevel"/>
    <w:tmpl w:val="AEA4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176A1"/>
    <w:multiLevelType w:val="multilevel"/>
    <w:tmpl w:val="B7A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571F3"/>
    <w:multiLevelType w:val="multilevel"/>
    <w:tmpl w:val="8A1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54207"/>
    <w:multiLevelType w:val="multilevel"/>
    <w:tmpl w:val="8726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E5A2D"/>
    <w:multiLevelType w:val="multilevel"/>
    <w:tmpl w:val="65C6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25278"/>
    <w:multiLevelType w:val="multilevel"/>
    <w:tmpl w:val="082C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E632B"/>
    <w:multiLevelType w:val="multilevel"/>
    <w:tmpl w:val="764C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F3F96"/>
    <w:multiLevelType w:val="multilevel"/>
    <w:tmpl w:val="5C4C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E27A6"/>
    <w:multiLevelType w:val="multilevel"/>
    <w:tmpl w:val="838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815CA"/>
    <w:multiLevelType w:val="hybridMultilevel"/>
    <w:tmpl w:val="1D04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422239">
    <w:abstractNumId w:val="4"/>
  </w:num>
  <w:num w:numId="2" w16cid:durableId="1956475780">
    <w:abstractNumId w:val="11"/>
  </w:num>
  <w:num w:numId="3" w16cid:durableId="1139109565">
    <w:abstractNumId w:val="2"/>
  </w:num>
  <w:num w:numId="4" w16cid:durableId="1849365683">
    <w:abstractNumId w:val="10"/>
  </w:num>
  <w:num w:numId="5" w16cid:durableId="1301886157">
    <w:abstractNumId w:val="3"/>
  </w:num>
  <w:num w:numId="6" w16cid:durableId="1365059652">
    <w:abstractNumId w:val="7"/>
  </w:num>
  <w:num w:numId="7" w16cid:durableId="1871608956">
    <w:abstractNumId w:val="9"/>
  </w:num>
  <w:num w:numId="8" w16cid:durableId="1662468620">
    <w:abstractNumId w:val="5"/>
  </w:num>
  <w:num w:numId="9" w16cid:durableId="101146506">
    <w:abstractNumId w:val="1"/>
  </w:num>
  <w:num w:numId="10" w16cid:durableId="1752198569">
    <w:abstractNumId w:val="8"/>
  </w:num>
  <w:num w:numId="11" w16cid:durableId="1069427447">
    <w:abstractNumId w:val="6"/>
  </w:num>
  <w:num w:numId="12" w16cid:durableId="23023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22"/>
    <w:rsid w:val="00016C2E"/>
    <w:rsid w:val="000207EB"/>
    <w:rsid w:val="00037DA0"/>
    <w:rsid w:val="00062128"/>
    <w:rsid w:val="000628A3"/>
    <w:rsid w:val="0008399E"/>
    <w:rsid w:val="00083D53"/>
    <w:rsid w:val="00092D6D"/>
    <w:rsid w:val="00093DFE"/>
    <w:rsid w:val="00097780"/>
    <w:rsid w:val="000A4C2B"/>
    <w:rsid w:val="000A71DE"/>
    <w:rsid w:val="000C6441"/>
    <w:rsid w:val="000D2F98"/>
    <w:rsid w:val="000D32E2"/>
    <w:rsid w:val="000D487B"/>
    <w:rsid w:val="000D53FD"/>
    <w:rsid w:val="000D60C6"/>
    <w:rsid w:val="000E29FB"/>
    <w:rsid w:val="000E6F1F"/>
    <w:rsid w:val="000F17D3"/>
    <w:rsid w:val="000F59BE"/>
    <w:rsid w:val="0014759B"/>
    <w:rsid w:val="00150A29"/>
    <w:rsid w:val="0017492D"/>
    <w:rsid w:val="00180B39"/>
    <w:rsid w:val="001818AE"/>
    <w:rsid w:val="001870DC"/>
    <w:rsid w:val="0018754F"/>
    <w:rsid w:val="001C2431"/>
    <w:rsid w:val="001D01CD"/>
    <w:rsid w:val="001D1C8A"/>
    <w:rsid w:val="001F7C90"/>
    <w:rsid w:val="00201A87"/>
    <w:rsid w:val="00201F8B"/>
    <w:rsid w:val="00201FE3"/>
    <w:rsid w:val="002054A7"/>
    <w:rsid w:val="00214839"/>
    <w:rsid w:val="00225115"/>
    <w:rsid w:val="0024628C"/>
    <w:rsid w:val="002517E4"/>
    <w:rsid w:val="00252533"/>
    <w:rsid w:val="00261D51"/>
    <w:rsid w:val="0026384D"/>
    <w:rsid w:val="002836B8"/>
    <w:rsid w:val="002A5BBF"/>
    <w:rsid w:val="002B4863"/>
    <w:rsid w:val="002C5A33"/>
    <w:rsid w:val="002D475B"/>
    <w:rsid w:val="002E185E"/>
    <w:rsid w:val="002E1AAE"/>
    <w:rsid w:val="002E4C31"/>
    <w:rsid w:val="002F36E0"/>
    <w:rsid w:val="00300FD7"/>
    <w:rsid w:val="0030129C"/>
    <w:rsid w:val="0030343D"/>
    <w:rsid w:val="00303CAA"/>
    <w:rsid w:val="00305918"/>
    <w:rsid w:val="00330DAF"/>
    <w:rsid w:val="00347F93"/>
    <w:rsid w:val="00351169"/>
    <w:rsid w:val="00364659"/>
    <w:rsid w:val="003676E5"/>
    <w:rsid w:val="00374548"/>
    <w:rsid w:val="00376A83"/>
    <w:rsid w:val="00380DED"/>
    <w:rsid w:val="003817A7"/>
    <w:rsid w:val="0038751E"/>
    <w:rsid w:val="00387BFB"/>
    <w:rsid w:val="00387F51"/>
    <w:rsid w:val="003C42BE"/>
    <w:rsid w:val="003E5CE2"/>
    <w:rsid w:val="003E6C63"/>
    <w:rsid w:val="003E6FB9"/>
    <w:rsid w:val="004011FB"/>
    <w:rsid w:val="00405199"/>
    <w:rsid w:val="00412B29"/>
    <w:rsid w:val="00420A88"/>
    <w:rsid w:val="00423F97"/>
    <w:rsid w:val="004321A8"/>
    <w:rsid w:val="0044029A"/>
    <w:rsid w:val="00440C6B"/>
    <w:rsid w:val="00444B51"/>
    <w:rsid w:val="004450A7"/>
    <w:rsid w:val="0045033B"/>
    <w:rsid w:val="0045466A"/>
    <w:rsid w:val="0045565B"/>
    <w:rsid w:val="0046244D"/>
    <w:rsid w:val="004626FC"/>
    <w:rsid w:val="00464788"/>
    <w:rsid w:val="00473EA1"/>
    <w:rsid w:val="00496F7E"/>
    <w:rsid w:val="004B09CD"/>
    <w:rsid w:val="004B0C39"/>
    <w:rsid w:val="004B2226"/>
    <w:rsid w:val="004D521E"/>
    <w:rsid w:val="004E3869"/>
    <w:rsid w:val="004F13EB"/>
    <w:rsid w:val="004F3893"/>
    <w:rsid w:val="004F3B02"/>
    <w:rsid w:val="004F43EB"/>
    <w:rsid w:val="004F5396"/>
    <w:rsid w:val="004F5E36"/>
    <w:rsid w:val="0051083A"/>
    <w:rsid w:val="00514308"/>
    <w:rsid w:val="005206E1"/>
    <w:rsid w:val="00525009"/>
    <w:rsid w:val="00536382"/>
    <w:rsid w:val="00542C0A"/>
    <w:rsid w:val="0056088B"/>
    <w:rsid w:val="00563B4F"/>
    <w:rsid w:val="00567A26"/>
    <w:rsid w:val="00573E1B"/>
    <w:rsid w:val="005922E9"/>
    <w:rsid w:val="005E3D75"/>
    <w:rsid w:val="005E6F93"/>
    <w:rsid w:val="005F3EFF"/>
    <w:rsid w:val="00600004"/>
    <w:rsid w:val="00606969"/>
    <w:rsid w:val="00611E0B"/>
    <w:rsid w:val="00624174"/>
    <w:rsid w:val="006255D7"/>
    <w:rsid w:val="0063735B"/>
    <w:rsid w:val="00646694"/>
    <w:rsid w:val="006507C9"/>
    <w:rsid w:val="00654095"/>
    <w:rsid w:val="00664067"/>
    <w:rsid w:val="006652E5"/>
    <w:rsid w:val="00666A9E"/>
    <w:rsid w:val="00680C5E"/>
    <w:rsid w:val="00684132"/>
    <w:rsid w:val="00686D0F"/>
    <w:rsid w:val="006A3B7F"/>
    <w:rsid w:val="006A571D"/>
    <w:rsid w:val="006A582C"/>
    <w:rsid w:val="006B61CE"/>
    <w:rsid w:val="006C11B5"/>
    <w:rsid w:val="006C2F97"/>
    <w:rsid w:val="006C300B"/>
    <w:rsid w:val="006C6BFF"/>
    <w:rsid w:val="006D1595"/>
    <w:rsid w:val="006D3DE2"/>
    <w:rsid w:val="006D7F76"/>
    <w:rsid w:val="006F1742"/>
    <w:rsid w:val="00701704"/>
    <w:rsid w:val="0070197D"/>
    <w:rsid w:val="00715336"/>
    <w:rsid w:val="007302B9"/>
    <w:rsid w:val="00737415"/>
    <w:rsid w:val="007640B1"/>
    <w:rsid w:val="0076604F"/>
    <w:rsid w:val="007724C7"/>
    <w:rsid w:val="007961C2"/>
    <w:rsid w:val="007A068E"/>
    <w:rsid w:val="007B1FD2"/>
    <w:rsid w:val="007B2771"/>
    <w:rsid w:val="007B77FB"/>
    <w:rsid w:val="007C7FDD"/>
    <w:rsid w:val="007D0C88"/>
    <w:rsid w:val="00827E8B"/>
    <w:rsid w:val="008415E4"/>
    <w:rsid w:val="00842250"/>
    <w:rsid w:val="00843CC2"/>
    <w:rsid w:val="00854D6A"/>
    <w:rsid w:val="00855DD9"/>
    <w:rsid w:val="008565B4"/>
    <w:rsid w:val="008612A4"/>
    <w:rsid w:val="00863AAA"/>
    <w:rsid w:val="00863E2A"/>
    <w:rsid w:val="00893E8C"/>
    <w:rsid w:val="008965C4"/>
    <w:rsid w:val="008A44C2"/>
    <w:rsid w:val="008B4B73"/>
    <w:rsid w:val="008B54A0"/>
    <w:rsid w:val="008C0DC5"/>
    <w:rsid w:val="008C2975"/>
    <w:rsid w:val="008D0753"/>
    <w:rsid w:val="008D4607"/>
    <w:rsid w:val="008D529C"/>
    <w:rsid w:val="008D6E7C"/>
    <w:rsid w:val="008F086A"/>
    <w:rsid w:val="008F725A"/>
    <w:rsid w:val="00912E26"/>
    <w:rsid w:val="009152AF"/>
    <w:rsid w:val="0092313F"/>
    <w:rsid w:val="0092434F"/>
    <w:rsid w:val="00935873"/>
    <w:rsid w:val="00943DE3"/>
    <w:rsid w:val="0095209E"/>
    <w:rsid w:val="00957976"/>
    <w:rsid w:val="00963F75"/>
    <w:rsid w:val="00966CCF"/>
    <w:rsid w:val="00973AA9"/>
    <w:rsid w:val="0098328D"/>
    <w:rsid w:val="00983628"/>
    <w:rsid w:val="009B2DAB"/>
    <w:rsid w:val="009B67B5"/>
    <w:rsid w:val="009D382D"/>
    <w:rsid w:val="009E7B45"/>
    <w:rsid w:val="00A017AD"/>
    <w:rsid w:val="00A1378D"/>
    <w:rsid w:val="00A30AD7"/>
    <w:rsid w:val="00A44679"/>
    <w:rsid w:val="00A4719E"/>
    <w:rsid w:val="00A555F1"/>
    <w:rsid w:val="00A5592A"/>
    <w:rsid w:val="00A55F4D"/>
    <w:rsid w:val="00A66587"/>
    <w:rsid w:val="00A67570"/>
    <w:rsid w:val="00A70448"/>
    <w:rsid w:val="00A7332F"/>
    <w:rsid w:val="00A75845"/>
    <w:rsid w:val="00A760C9"/>
    <w:rsid w:val="00A84DC6"/>
    <w:rsid w:val="00A86FAE"/>
    <w:rsid w:val="00A919DC"/>
    <w:rsid w:val="00AB62CA"/>
    <w:rsid w:val="00AB7EE5"/>
    <w:rsid w:val="00AD0BDE"/>
    <w:rsid w:val="00AD3C62"/>
    <w:rsid w:val="00AD44FA"/>
    <w:rsid w:val="00AD6A6C"/>
    <w:rsid w:val="00AF239C"/>
    <w:rsid w:val="00B01EFC"/>
    <w:rsid w:val="00B11878"/>
    <w:rsid w:val="00B15C31"/>
    <w:rsid w:val="00B20C89"/>
    <w:rsid w:val="00B2649F"/>
    <w:rsid w:val="00B269D2"/>
    <w:rsid w:val="00B33077"/>
    <w:rsid w:val="00B40698"/>
    <w:rsid w:val="00B47320"/>
    <w:rsid w:val="00B701E4"/>
    <w:rsid w:val="00B723D5"/>
    <w:rsid w:val="00B811C7"/>
    <w:rsid w:val="00B850EB"/>
    <w:rsid w:val="00B9156D"/>
    <w:rsid w:val="00B96B47"/>
    <w:rsid w:val="00BB0DC5"/>
    <w:rsid w:val="00BB1EBE"/>
    <w:rsid w:val="00BB7944"/>
    <w:rsid w:val="00BD1692"/>
    <w:rsid w:val="00BE37AA"/>
    <w:rsid w:val="00BE64BC"/>
    <w:rsid w:val="00C061CA"/>
    <w:rsid w:val="00C07A2C"/>
    <w:rsid w:val="00C32C0A"/>
    <w:rsid w:val="00C50A5A"/>
    <w:rsid w:val="00C514EA"/>
    <w:rsid w:val="00C64E4C"/>
    <w:rsid w:val="00C70C80"/>
    <w:rsid w:val="00C74821"/>
    <w:rsid w:val="00C76351"/>
    <w:rsid w:val="00C774F7"/>
    <w:rsid w:val="00C96A67"/>
    <w:rsid w:val="00CB013B"/>
    <w:rsid w:val="00CD2A74"/>
    <w:rsid w:val="00CD6F5B"/>
    <w:rsid w:val="00CE7EEB"/>
    <w:rsid w:val="00CF1FE2"/>
    <w:rsid w:val="00CF6236"/>
    <w:rsid w:val="00D027A6"/>
    <w:rsid w:val="00D02C66"/>
    <w:rsid w:val="00D034EE"/>
    <w:rsid w:val="00D046A9"/>
    <w:rsid w:val="00D271B6"/>
    <w:rsid w:val="00D27965"/>
    <w:rsid w:val="00D32073"/>
    <w:rsid w:val="00D50572"/>
    <w:rsid w:val="00D521A4"/>
    <w:rsid w:val="00D55D97"/>
    <w:rsid w:val="00D6048D"/>
    <w:rsid w:val="00D61BAB"/>
    <w:rsid w:val="00D65DD4"/>
    <w:rsid w:val="00D664DC"/>
    <w:rsid w:val="00D87B2A"/>
    <w:rsid w:val="00D9179E"/>
    <w:rsid w:val="00D91D86"/>
    <w:rsid w:val="00DC40E0"/>
    <w:rsid w:val="00DC515B"/>
    <w:rsid w:val="00DC75D5"/>
    <w:rsid w:val="00DD0F12"/>
    <w:rsid w:val="00DD36CB"/>
    <w:rsid w:val="00DD43D4"/>
    <w:rsid w:val="00DF4357"/>
    <w:rsid w:val="00E0016B"/>
    <w:rsid w:val="00E03AE2"/>
    <w:rsid w:val="00E24F44"/>
    <w:rsid w:val="00E3014D"/>
    <w:rsid w:val="00E3214F"/>
    <w:rsid w:val="00E3649E"/>
    <w:rsid w:val="00E60414"/>
    <w:rsid w:val="00E663F4"/>
    <w:rsid w:val="00E66F2A"/>
    <w:rsid w:val="00E73D6B"/>
    <w:rsid w:val="00E8220B"/>
    <w:rsid w:val="00E825AD"/>
    <w:rsid w:val="00EA081D"/>
    <w:rsid w:val="00EA12B5"/>
    <w:rsid w:val="00EC249D"/>
    <w:rsid w:val="00EC6CB0"/>
    <w:rsid w:val="00ED5D5A"/>
    <w:rsid w:val="00EE1122"/>
    <w:rsid w:val="00EE313A"/>
    <w:rsid w:val="00EE437F"/>
    <w:rsid w:val="00EF6296"/>
    <w:rsid w:val="00EF6A1F"/>
    <w:rsid w:val="00F00A82"/>
    <w:rsid w:val="00F03675"/>
    <w:rsid w:val="00F04949"/>
    <w:rsid w:val="00F0592E"/>
    <w:rsid w:val="00F11EAC"/>
    <w:rsid w:val="00F12FB8"/>
    <w:rsid w:val="00F264A8"/>
    <w:rsid w:val="00F30140"/>
    <w:rsid w:val="00F36724"/>
    <w:rsid w:val="00F37D69"/>
    <w:rsid w:val="00F5657B"/>
    <w:rsid w:val="00F72387"/>
    <w:rsid w:val="00F85A83"/>
    <w:rsid w:val="00F868B7"/>
    <w:rsid w:val="00F873CF"/>
    <w:rsid w:val="00F95EC8"/>
    <w:rsid w:val="00FA518F"/>
    <w:rsid w:val="00FA76E0"/>
    <w:rsid w:val="00FB1B67"/>
    <w:rsid w:val="00FB1E19"/>
    <w:rsid w:val="00FB2E24"/>
    <w:rsid w:val="00FB40D3"/>
    <w:rsid w:val="00FB5E7F"/>
    <w:rsid w:val="00FB6CC0"/>
    <w:rsid w:val="00FC3423"/>
    <w:rsid w:val="00FD5BA1"/>
    <w:rsid w:val="00FD605C"/>
    <w:rsid w:val="00FE15EB"/>
    <w:rsid w:val="00FE43C4"/>
    <w:rsid w:val="00FE4C30"/>
    <w:rsid w:val="00FE7350"/>
    <w:rsid w:val="00FF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E6AB4"/>
  <w15:chartTrackingRefBased/>
  <w15:docId w15:val="{DC7DBB3C-C0B1-4563-8FA1-43D9F7A7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E0"/>
  </w:style>
  <w:style w:type="paragraph" w:styleId="Heading1">
    <w:name w:val="heading 1"/>
    <w:basedOn w:val="Normal"/>
    <w:next w:val="Normal"/>
    <w:link w:val="Heading1Char"/>
    <w:uiPriority w:val="9"/>
    <w:qFormat/>
    <w:rsid w:val="00420A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11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93E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9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06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1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122"/>
    <w:rPr>
      <w:b/>
      <w:bCs/>
    </w:rPr>
  </w:style>
  <w:style w:type="character" w:styleId="Emphasis">
    <w:name w:val="Emphasis"/>
    <w:basedOn w:val="DefaultParagraphFont"/>
    <w:uiPriority w:val="20"/>
    <w:qFormat/>
    <w:rsid w:val="00EE1122"/>
    <w:rPr>
      <w:i/>
      <w:iCs/>
    </w:rPr>
  </w:style>
  <w:style w:type="character" w:customStyle="1" w:styleId="Heading2Char">
    <w:name w:val="Heading 2 Char"/>
    <w:basedOn w:val="DefaultParagraphFont"/>
    <w:link w:val="Heading2"/>
    <w:uiPriority w:val="9"/>
    <w:rsid w:val="00EE112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E1122"/>
    <w:rPr>
      <w:color w:val="0563C1" w:themeColor="hyperlink"/>
      <w:u w:val="single"/>
    </w:rPr>
  </w:style>
  <w:style w:type="character" w:styleId="UnresolvedMention">
    <w:name w:val="Unresolved Mention"/>
    <w:basedOn w:val="DefaultParagraphFont"/>
    <w:uiPriority w:val="99"/>
    <w:semiHidden/>
    <w:unhideWhenUsed/>
    <w:rsid w:val="00EE1122"/>
    <w:rPr>
      <w:color w:val="605E5C"/>
      <w:shd w:val="clear" w:color="auto" w:fill="E1DFDD"/>
    </w:rPr>
  </w:style>
  <w:style w:type="character" w:customStyle="1" w:styleId="Heading1Char">
    <w:name w:val="Heading 1 Char"/>
    <w:basedOn w:val="DefaultParagraphFont"/>
    <w:link w:val="Heading1"/>
    <w:uiPriority w:val="9"/>
    <w:rsid w:val="00420A8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D0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BDE"/>
  </w:style>
  <w:style w:type="paragraph" w:styleId="Footer">
    <w:name w:val="footer"/>
    <w:basedOn w:val="Normal"/>
    <w:link w:val="FooterChar"/>
    <w:uiPriority w:val="99"/>
    <w:unhideWhenUsed/>
    <w:rsid w:val="00AD0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BDE"/>
  </w:style>
  <w:style w:type="paragraph" w:customStyle="1" w:styleId="sf-long-text">
    <w:name w:val="sf-long-text"/>
    <w:basedOn w:val="Normal"/>
    <w:rsid w:val="00E825A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825AD"/>
    <w:rPr>
      <w:color w:val="954F72" w:themeColor="followedHyperlink"/>
      <w:u w:val="single"/>
    </w:rPr>
  </w:style>
  <w:style w:type="paragraph" w:styleId="ListParagraph">
    <w:name w:val="List Paragraph"/>
    <w:basedOn w:val="Normal"/>
    <w:uiPriority w:val="34"/>
    <w:qFormat/>
    <w:rsid w:val="00963F75"/>
    <w:pPr>
      <w:ind w:left="720"/>
      <w:contextualSpacing/>
    </w:pPr>
  </w:style>
  <w:style w:type="character" w:customStyle="1" w:styleId="Heading5Char">
    <w:name w:val="Heading 5 Char"/>
    <w:basedOn w:val="DefaultParagraphFont"/>
    <w:link w:val="Heading5"/>
    <w:uiPriority w:val="9"/>
    <w:semiHidden/>
    <w:rsid w:val="007A068E"/>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sid w:val="00893E8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969"/>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7B1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8267">
      <w:bodyDiv w:val="1"/>
      <w:marLeft w:val="0"/>
      <w:marRight w:val="0"/>
      <w:marTop w:val="0"/>
      <w:marBottom w:val="0"/>
      <w:divBdr>
        <w:top w:val="none" w:sz="0" w:space="0" w:color="auto"/>
        <w:left w:val="none" w:sz="0" w:space="0" w:color="auto"/>
        <w:bottom w:val="none" w:sz="0" w:space="0" w:color="auto"/>
        <w:right w:val="none" w:sz="0" w:space="0" w:color="auto"/>
      </w:divBdr>
      <w:divsChild>
        <w:div w:id="286590815">
          <w:marLeft w:val="-225"/>
          <w:marRight w:val="-225"/>
          <w:marTop w:val="0"/>
          <w:marBottom w:val="0"/>
          <w:divBdr>
            <w:top w:val="none" w:sz="0" w:space="0" w:color="auto"/>
            <w:left w:val="none" w:sz="0" w:space="0" w:color="auto"/>
            <w:bottom w:val="none" w:sz="0" w:space="0" w:color="auto"/>
            <w:right w:val="none" w:sz="0" w:space="0" w:color="auto"/>
          </w:divBdr>
          <w:divsChild>
            <w:div w:id="1440181453">
              <w:marLeft w:val="0"/>
              <w:marRight w:val="0"/>
              <w:marTop w:val="0"/>
              <w:marBottom w:val="0"/>
              <w:divBdr>
                <w:top w:val="none" w:sz="0" w:space="0" w:color="auto"/>
                <w:left w:val="none" w:sz="0" w:space="0" w:color="auto"/>
                <w:bottom w:val="none" w:sz="0" w:space="0" w:color="auto"/>
                <w:right w:val="none" w:sz="0" w:space="0" w:color="auto"/>
              </w:divBdr>
            </w:div>
            <w:div w:id="948123699">
              <w:marLeft w:val="0"/>
              <w:marRight w:val="0"/>
              <w:marTop w:val="0"/>
              <w:marBottom w:val="0"/>
              <w:divBdr>
                <w:top w:val="none" w:sz="0" w:space="0" w:color="auto"/>
                <w:left w:val="none" w:sz="0" w:space="0" w:color="auto"/>
                <w:bottom w:val="none" w:sz="0" w:space="0" w:color="auto"/>
                <w:right w:val="none" w:sz="0" w:space="0" w:color="auto"/>
              </w:divBdr>
              <w:divsChild>
                <w:div w:id="991524230">
                  <w:marLeft w:val="-225"/>
                  <w:marRight w:val="-225"/>
                  <w:marTop w:val="0"/>
                  <w:marBottom w:val="0"/>
                  <w:divBdr>
                    <w:top w:val="none" w:sz="0" w:space="0" w:color="auto"/>
                    <w:left w:val="none" w:sz="0" w:space="0" w:color="auto"/>
                    <w:bottom w:val="none" w:sz="0" w:space="0" w:color="auto"/>
                    <w:right w:val="none" w:sz="0" w:space="0" w:color="auto"/>
                  </w:divBdr>
                  <w:divsChild>
                    <w:div w:id="380373761">
                      <w:marLeft w:val="0"/>
                      <w:marRight w:val="0"/>
                      <w:marTop w:val="0"/>
                      <w:marBottom w:val="0"/>
                      <w:divBdr>
                        <w:top w:val="none" w:sz="0" w:space="0" w:color="auto"/>
                        <w:left w:val="none" w:sz="0" w:space="0" w:color="auto"/>
                        <w:bottom w:val="none" w:sz="0" w:space="0" w:color="auto"/>
                        <w:right w:val="none" w:sz="0" w:space="0" w:color="auto"/>
                      </w:divBdr>
                    </w:div>
                    <w:div w:id="1792750470">
                      <w:marLeft w:val="0"/>
                      <w:marRight w:val="0"/>
                      <w:marTop w:val="0"/>
                      <w:marBottom w:val="0"/>
                      <w:divBdr>
                        <w:top w:val="none" w:sz="0" w:space="0" w:color="auto"/>
                        <w:left w:val="none" w:sz="0" w:space="0" w:color="auto"/>
                        <w:bottom w:val="none" w:sz="0" w:space="0" w:color="auto"/>
                        <w:right w:val="none" w:sz="0" w:space="0" w:color="auto"/>
                      </w:divBdr>
                      <w:divsChild>
                        <w:div w:id="5731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61727">
          <w:marLeft w:val="-225"/>
          <w:marRight w:val="-225"/>
          <w:marTop w:val="0"/>
          <w:marBottom w:val="0"/>
          <w:divBdr>
            <w:top w:val="none" w:sz="0" w:space="0" w:color="auto"/>
            <w:left w:val="none" w:sz="0" w:space="0" w:color="auto"/>
            <w:bottom w:val="none" w:sz="0" w:space="0" w:color="auto"/>
            <w:right w:val="none" w:sz="0" w:space="0" w:color="auto"/>
          </w:divBdr>
          <w:divsChild>
            <w:div w:id="1597055413">
              <w:marLeft w:val="0"/>
              <w:marRight w:val="0"/>
              <w:marTop w:val="0"/>
              <w:marBottom w:val="0"/>
              <w:divBdr>
                <w:top w:val="none" w:sz="0" w:space="0" w:color="auto"/>
                <w:left w:val="none" w:sz="0" w:space="0" w:color="auto"/>
                <w:bottom w:val="none" w:sz="0" w:space="0" w:color="auto"/>
                <w:right w:val="none" w:sz="0" w:space="0" w:color="auto"/>
              </w:divBdr>
            </w:div>
            <w:div w:id="413823566">
              <w:marLeft w:val="0"/>
              <w:marRight w:val="0"/>
              <w:marTop w:val="0"/>
              <w:marBottom w:val="0"/>
              <w:divBdr>
                <w:top w:val="none" w:sz="0" w:space="0" w:color="auto"/>
                <w:left w:val="none" w:sz="0" w:space="0" w:color="auto"/>
                <w:bottom w:val="none" w:sz="0" w:space="0" w:color="auto"/>
                <w:right w:val="none" w:sz="0" w:space="0" w:color="auto"/>
              </w:divBdr>
              <w:divsChild>
                <w:div w:id="1384210706">
                  <w:marLeft w:val="-225"/>
                  <w:marRight w:val="-225"/>
                  <w:marTop w:val="0"/>
                  <w:marBottom w:val="0"/>
                  <w:divBdr>
                    <w:top w:val="none" w:sz="0" w:space="0" w:color="auto"/>
                    <w:left w:val="none" w:sz="0" w:space="0" w:color="auto"/>
                    <w:bottom w:val="none" w:sz="0" w:space="0" w:color="auto"/>
                    <w:right w:val="none" w:sz="0" w:space="0" w:color="auto"/>
                  </w:divBdr>
                  <w:divsChild>
                    <w:div w:id="967586927">
                      <w:marLeft w:val="0"/>
                      <w:marRight w:val="0"/>
                      <w:marTop w:val="0"/>
                      <w:marBottom w:val="0"/>
                      <w:divBdr>
                        <w:top w:val="none" w:sz="0" w:space="0" w:color="auto"/>
                        <w:left w:val="none" w:sz="0" w:space="0" w:color="auto"/>
                        <w:bottom w:val="none" w:sz="0" w:space="0" w:color="auto"/>
                        <w:right w:val="none" w:sz="0" w:space="0" w:color="auto"/>
                      </w:divBdr>
                    </w:div>
                    <w:div w:id="1624772651">
                      <w:marLeft w:val="0"/>
                      <w:marRight w:val="0"/>
                      <w:marTop w:val="0"/>
                      <w:marBottom w:val="0"/>
                      <w:divBdr>
                        <w:top w:val="none" w:sz="0" w:space="0" w:color="auto"/>
                        <w:left w:val="none" w:sz="0" w:space="0" w:color="auto"/>
                        <w:bottom w:val="none" w:sz="0" w:space="0" w:color="auto"/>
                        <w:right w:val="none" w:sz="0" w:space="0" w:color="auto"/>
                      </w:divBdr>
                      <w:divsChild>
                        <w:div w:id="4742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6070">
          <w:marLeft w:val="-225"/>
          <w:marRight w:val="-225"/>
          <w:marTop w:val="0"/>
          <w:marBottom w:val="0"/>
          <w:divBdr>
            <w:top w:val="none" w:sz="0" w:space="0" w:color="auto"/>
            <w:left w:val="none" w:sz="0" w:space="0" w:color="auto"/>
            <w:bottom w:val="none" w:sz="0" w:space="0" w:color="auto"/>
            <w:right w:val="none" w:sz="0" w:space="0" w:color="auto"/>
          </w:divBdr>
          <w:divsChild>
            <w:div w:id="313459546">
              <w:marLeft w:val="0"/>
              <w:marRight w:val="0"/>
              <w:marTop w:val="0"/>
              <w:marBottom w:val="0"/>
              <w:divBdr>
                <w:top w:val="none" w:sz="0" w:space="0" w:color="auto"/>
                <w:left w:val="none" w:sz="0" w:space="0" w:color="auto"/>
                <w:bottom w:val="none" w:sz="0" w:space="0" w:color="auto"/>
                <w:right w:val="none" w:sz="0" w:space="0" w:color="auto"/>
              </w:divBdr>
            </w:div>
            <w:div w:id="54397432">
              <w:marLeft w:val="0"/>
              <w:marRight w:val="0"/>
              <w:marTop w:val="0"/>
              <w:marBottom w:val="0"/>
              <w:divBdr>
                <w:top w:val="none" w:sz="0" w:space="0" w:color="auto"/>
                <w:left w:val="none" w:sz="0" w:space="0" w:color="auto"/>
                <w:bottom w:val="none" w:sz="0" w:space="0" w:color="auto"/>
                <w:right w:val="none" w:sz="0" w:space="0" w:color="auto"/>
              </w:divBdr>
              <w:divsChild>
                <w:div w:id="702025679">
                  <w:marLeft w:val="-225"/>
                  <w:marRight w:val="-225"/>
                  <w:marTop w:val="0"/>
                  <w:marBottom w:val="0"/>
                  <w:divBdr>
                    <w:top w:val="none" w:sz="0" w:space="0" w:color="auto"/>
                    <w:left w:val="none" w:sz="0" w:space="0" w:color="auto"/>
                    <w:bottom w:val="none" w:sz="0" w:space="0" w:color="auto"/>
                    <w:right w:val="none" w:sz="0" w:space="0" w:color="auto"/>
                  </w:divBdr>
                  <w:divsChild>
                    <w:div w:id="581183799">
                      <w:marLeft w:val="0"/>
                      <w:marRight w:val="0"/>
                      <w:marTop w:val="0"/>
                      <w:marBottom w:val="0"/>
                      <w:divBdr>
                        <w:top w:val="none" w:sz="0" w:space="0" w:color="auto"/>
                        <w:left w:val="none" w:sz="0" w:space="0" w:color="auto"/>
                        <w:bottom w:val="none" w:sz="0" w:space="0" w:color="auto"/>
                        <w:right w:val="none" w:sz="0" w:space="0" w:color="auto"/>
                      </w:divBdr>
                    </w:div>
                    <w:div w:id="1924795737">
                      <w:marLeft w:val="0"/>
                      <w:marRight w:val="0"/>
                      <w:marTop w:val="0"/>
                      <w:marBottom w:val="0"/>
                      <w:divBdr>
                        <w:top w:val="none" w:sz="0" w:space="0" w:color="auto"/>
                        <w:left w:val="none" w:sz="0" w:space="0" w:color="auto"/>
                        <w:bottom w:val="none" w:sz="0" w:space="0" w:color="auto"/>
                        <w:right w:val="none" w:sz="0" w:space="0" w:color="auto"/>
                      </w:divBdr>
                      <w:divsChild>
                        <w:div w:id="11251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518">
          <w:marLeft w:val="-225"/>
          <w:marRight w:val="-225"/>
          <w:marTop w:val="0"/>
          <w:marBottom w:val="0"/>
          <w:divBdr>
            <w:top w:val="none" w:sz="0" w:space="0" w:color="auto"/>
            <w:left w:val="none" w:sz="0" w:space="0" w:color="auto"/>
            <w:bottom w:val="none" w:sz="0" w:space="0" w:color="auto"/>
            <w:right w:val="none" w:sz="0" w:space="0" w:color="auto"/>
          </w:divBdr>
          <w:divsChild>
            <w:div w:id="938677971">
              <w:marLeft w:val="0"/>
              <w:marRight w:val="0"/>
              <w:marTop w:val="0"/>
              <w:marBottom w:val="0"/>
              <w:divBdr>
                <w:top w:val="none" w:sz="0" w:space="0" w:color="auto"/>
                <w:left w:val="none" w:sz="0" w:space="0" w:color="auto"/>
                <w:bottom w:val="none" w:sz="0" w:space="0" w:color="auto"/>
                <w:right w:val="none" w:sz="0" w:space="0" w:color="auto"/>
              </w:divBdr>
            </w:div>
            <w:div w:id="2059469767">
              <w:marLeft w:val="0"/>
              <w:marRight w:val="0"/>
              <w:marTop w:val="0"/>
              <w:marBottom w:val="0"/>
              <w:divBdr>
                <w:top w:val="none" w:sz="0" w:space="0" w:color="auto"/>
                <w:left w:val="none" w:sz="0" w:space="0" w:color="auto"/>
                <w:bottom w:val="none" w:sz="0" w:space="0" w:color="auto"/>
                <w:right w:val="none" w:sz="0" w:space="0" w:color="auto"/>
              </w:divBdr>
              <w:divsChild>
                <w:div w:id="1983078567">
                  <w:marLeft w:val="-225"/>
                  <w:marRight w:val="-225"/>
                  <w:marTop w:val="0"/>
                  <w:marBottom w:val="0"/>
                  <w:divBdr>
                    <w:top w:val="none" w:sz="0" w:space="0" w:color="auto"/>
                    <w:left w:val="none" w:sz="0" w:space="0" w:color="auto"/>
                    <w:bottom w:val="none" w:sz="0" w:space="0" w:color="auto"/>
                    <w:right w:val="none" w:sz="0" w:space="0" w:color="auto"/>
                  </w:divBdr>
                  <w:divsChild>
                    <w:div w:id="682124573">
                      <w:marLeft w:val="0"/>
                      <w:marRight w:val="0"/>
                      <w:marTop w:val="0"/>
                      <w:marBottom w:val="0"/>
                      <w:divBdr>
                        <w:top w:val="none" w:sz="0" w:space="0" w:color="auto"/>
                        <w:left w:val="none" w:sz="0" w:space="0" w:color="auto"/>
                        <w:bottom w:val="none" w:sz="0" w:space="0" w:color="auto"/>
                        <w:right w:val="none" w:sz="0" w:space="0" w:color="auto"/>
                      </w:divBdr>
                    </w:div>
                    <w:div w:id="548499820">
                      <w:marLeft w:val="0"/>
                      <w:marRight w:val="0"/>
                      <w:marTop w:val="0"/>
                      <w:marBottom w:val="0"/>
                      <w:divBdr>
                        <w:top w:val="none" w:sz="0" w:space="0" w:color="auto"/>
                        <w:left w:val="none" w:sz="0" w:space="0" w:color="auto"/>
                        <w:bottom w:val="none" w:sz="0" w:space="0" w:color="auto"/>
                        <w:right w:val="none" w:sz="0" w:space="0" w:color="auto"/>
                      </w:divBdr>
                      <w:divsChild>
                        <w:div w:id="9037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9798">
          <w:marLeft w:val="-225"/>
          <w:marRight w:val="-225"/>
          <w:marTop w:val="0"/>
          <w:marBottom w:val="0"/>
          <w:divBdr>
            <w:top w:val="none" w:sz="0" w:space="0" w:color="auto"/>
            <w:left w:val="none" w:sz="0" w:space="0" w:color="auto"/>
            <w:bottom w:val="none" w:sz="0" w:space="0" w:color="auto"/>
            <w:right w:val="none" w:sz="0" w:space="0" w:color="auto"/>
          </w:divBdr>
          <w:divsChild>
            <w:div w:id="2039159550">
              <w:marLeft w:val="0"/>
              <w:marRight w:val="0"/>
              <w:marTop w:val="0"/>
              <w:marBottom w:val="0"/>
              <w:divBdr>
                <w:top w:val="none" w:sz="0" w:space="0" w:color="auto"/>
                <w:left w:val="none" w:sz="0" w:space="0" w:color="auto"/>
                <w:bottom w:val="none" w:sz="0" w:space="0" w:color="auto"/>
                <w:right w:val="none" w:sz="0" w:space="0" w:color="auto"/>
              </w:divBdr>
            </w:div>
            <w:div w:id="1050105519">
              <w:marLeft w:val="0"/>
              <w:marRight w:val="0"/>
              <w:marTop w:val="0"/>
              <w:marBottom w:val="0"/>
              <w:divBdr>
                <w:top w:val="none" w:sz="0" w:space="0" w:color="auto"/>
                <w:left w:val="none" w:sz="0" w:space="0" w:color="auto"/>
                <w:bottom w:val="none" w:sz="0" w:space="0" w:color="auto"/>
                <w:right w:val="none" w:sz="0" w:space="0" w:color="auto"/>
              </w:divBdr>
              <w:divsChild>
                <w:div w:id="703408563">
                  <w:marLeft w:val="-225"/>
                  <w:marRight w:val="-225"/>
                  <w:marTop w:val="0"/>
                  <w:marBottom w:val="0"/>
                  <w:divBdr>
                    <w:top w:val="none" w:sz="0" w:space="0" w:color="auto"/>
                    <w:left w:val="none" w:sz="0" w:space="0" w:color="auto"/>
                    <w:bottom w:val="none" w:sz="0" w:space="0" w:color="auto"/>
                    <w:right w:val="none" w:sz="0" w:space="0" w:color="auto"/>
                  </w:divBdr>
                  <w:divsChild>
                    <w:div w:id="509294594">
                      <w:marLeft w:val="0"/>
                      <w:marRight w:val="0"/>
                      <w:marTop w:val="0"/>
                      <w:marBottom w:val="0"/>
                      <w:divBdr>
                        <w:top w:val="none" w:sz="0" w:space="0" w:color="auto"/>
                        <w:left w:val="none" w:sz="0" w:space="0" w:color="auto"/>
                        <w:bottom w:val="none" w:sz="0" w:space="0" w:color="auto"/>
                        <w:right w:val="none" w:sz="0" w:space="0" w:color="auto"/>
                      </w:divBdr>
                    </w:div>
                    <w:div w:id="125855165">
                      <w:marLeft w:val="0"/>
                      <w:marRight w:val="0"/>
                      <w:marTop w:val="0"/>
                      <w:marBottom w:val="0"/>
                      <w:divBdr>
                        <w:top w:val="none" w:sz="0" w:space="0" w:color="auto"/>
                        <w:left w:val="none" w:sz="0" w:space="0" w:color="auto"/>
                        <w:bottom w:val="none" w:sz="0" w:space="0" w:color="auto"/>
                        <w:right w:val="none" w:sz="0" w:space="0" w:color="auto"/>
                      </w:divBdr>
                      <w:divsChild>
                        <w:div w:id="11052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7899">
          <w:marLeft w:val="-225"/>
          <w:marRight w:val="-225"/>
          <w:marTop w:val="0"/>
          <w:marBottom w:val="0"/>
          <w:divBdr>
            <w:top w:val="none" w:sz="0" w:space="0" w:color="auto"/>
            <w:left w:val="none" w:sz="0" w:space="0" w:color="auto"/>
            <w:bottom w:val="none" w:sz="0" w:space="0" w:color="auto"/>
            <w:right w:val="none" w:sz="0" w:space="0" w:color="auto"/>
          </w:divBdr>
          <w:divsChild>
            <w:div w:id="1058867728">
              <w:marLeft w:val="0"/>
              <w:marRight w:val="0"/>
              <w:marTop w:val="0"/>
              <w:marBottom w:val="0"/>
              <w:divBdr>
                <w:top w:val="none" w:sz="0" w:space="0" w:color="auto"/>
                <w:left w:val="none" w:sz="0" w:space="0" w:color="auto"/>
                <w:bottom w:val="none" w:sz="0" w:space="0" w:color="auto"/>
                <w:right w:val="none" w:sz="0" w:space="0" w:color="auto"/>
              </w:divBdr>
            </w:div>
            <w:div w:id="1129278953">
              <w:marLeft w:val="0"/>
              <w:marRight w:val="0"/>
              <w:marTop w:val="0"/>
              <w:marBottom w:val="0"/>
              <w:divBdr>
                <w:top w:val="none" w:sz="0" w:space="0" w:color="auto"/>
                <w:left w:val="none" w:sz="0" w:space="0" w:color="auto"/>
                <w:bottom w:val="none" w:sz="0" w:space="0" w:color="auto"/>
                <w:right w:val="none" w:sz="0" w:space="0" w:color="auto"/>
              </w:divBdr>
              <w:divsChild>
                <w:div w:id="1660116640">
                  <w:marLeft w:val="-225"/>
                  <w:marRight w:val="-225"/>
                  <w:marTop w:val="0"/>
                  <w:marBottom w:val="0"/>
                  <w:divBdr>
                    <w:top w:val="none" w:sz="0" w:space="0" w:color="auto"/>
                    <w:left w:val="none" w:sz="0" w:space="0" w:color="auto"/>
                    <w:bottom w:val="none" w:sz="0" w:space="0" w:color="auto"/>
                    <w:right w:val="none" w:sz="0" w:space="0" w:color="auto"/>
                  </w:divBdr>
                  <w:divsChild>
                    <w:div w:id="275796349">
                      <w:marLeft w:val="0"/>
                      <w:marRight w:val="0"/>
                      <w:marTop w:val="0"/>
                      <w:marBottom w:val="0"/>
                      <w:divBdr>
                        <w:top w:val="none" w:sz="0" w:space="0" w:color="auto"/>
                        <w:left w:val="none" w:sz="0" w:space="0" w:color="auto"/>
                        <w:bottom w:val="none" w:sz="0" w:space="0" w:color="auto"/>
                        <w:right w:val="none" w:sz="0" w:space="0" w:color="auto"/>
                      </w:divBdr>
                    </w:div>
                    <w:div w:id="1367024091">
                      <w:marLeft w:val="0"/>
                      <w:marRight w:val="0"/>
                      <w:marTop w:val="0"/>
                      <w:marBottom w:val="0"/>
                      <w:divBdr>
                        <w:top w:val="none" w:sz="0" w:space="0" w:color="auto"/>
                        <w:left w:val="none" w:sz="0" w:space="0" w:color="auto"/>
                        <w:bottom w:val="none" w:sz="0" w:space="0" w:color="auto"/>
                        <w:right w:val="none" w:sz="0" w:space="0" w:color="auto"/>
                      </w:divBdr>
                      <w:divsChild>
                        <w:div w:id="10798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9085">
      <w:bodyDiv w:val="1"/>
      <w:marLeft w:val="0"/>
      <w:marRight w:val="0"/>
      <w:marTop w:val="0"/>
      <w:marBottom w:val="0"/>
      <w:divBdr>
        <w:top w:val="none" w:sz="0" w:space="0" w:color="auto"/>
        <w:left w:val="none" w:sz="0" w:space="0" w:color="auto"/>
        <w:bottom w:val="none" w:sz="0" w:space="0" w:color="auto"/>
        <w:right w:val="none" w:sz="0" w:space="0" w:color="auto"/>
      </w:divBdr>
    </w:div>
    <w:div w:id="101609376">
      <w:bodyDiv w:val="1"/>
      <w:marLeft w:val="0"/>
      <w:marRight w:val="0"/>
      <w:marTop w:val="0"/>
      <w:marBottom w:val="0"/>
      <w:divBdr>
        <w:top w:val="none" w:sz="0" w:space="0" w:color="auto"/>
        <w:left w:val="none" w:sz="0" w:space="0" w:color="auto"/>
        <w:bottom w:val="none" w:sz="0" w:space="0" w:color="auto"/>
        <w:right w:val="none" w:sz="0" w:space="0" w:color="auto"/>
      </w:divBdr>
    </w:div>
    <w:div w:id="438571590">
      <w:bodyDiv w:val="1"/>
      <w:marLeft w:val="0"/>
      <w:marRight w:val="0"/>
      <w:marTop w:val="0"/>
      <w:marBottom w:val="0"/>
      <w:divBdr>
        <w:top w:val="none" w:sz="0" w:space="0" w:color="auto"/>
        <w:left w:val="none" w:sz="0" w:space="0" w:color="auto"/>
        <w:bottom w:val="none" w:sz="0" w:space="0" w:color="auto"/>
        <w:right w:val="none" w:sz="0" w:space="0" w:color="auto"/>
      </w:divBdr>
      <w:divsChild>
        <w:div w:id="63340289">
          <w:marLeft w:val="0"/>
          <w:marRight w:val="0"/>
          <w:marTop w:val="0"/>
          <w:marBottom w:val="0"/>
          <w:divBdr>
            <w:top w:val="none" w:sz="0" w:space="0" w:color="auto"/>
            <w:left w:val="none" w:sz="0" w:space="0" w:color="auto"/>
            <w:bottom w:val="none" w:sz="0" w:space="0" w:color="auto"/>
            <w:right w:val="none" w:sz="0" w:space="0" w:color="auto"/>
          </w:divBdr>
          <w:divsChild>
            <w:div w:id="1452476934">
              <w:marLeft w:val="0"/>
              <w:marRight w:val="0"/>
              <w:marTop w:val="0"/>
              <w:marBottom w:val="0"/>
              <w:divBdr>
                <w:top w:val="none" w:sz="0" w:space="0" w:color="auto"/>
                <w:left w:val="none" w:sz="0" w:space="0" w:color="auto"/>
                <w:bottom w:val="none" w:sz="0" w:space="0" w:color="auto"/>
                <w:right w:val="none" w:sz="0" w:space="0" w:color="auto"/>
              </w:divBdr>
            </w:div>
          </w:divsChild>
        </w:div>
        <w:div w:id="1420979911">
          <w:marLeft w:val="0"/>
          <w:marRight w:val="0"/>
          <w:marTop w:val="0"/>
          <w:marBottom w:val="0"/>
          <w:divBdr>
            <w:top w:val="none" w:sz="0" w:space="0" w:color="auto"/>
            <w:left w:val="none" w:sz="0" w:space="0" w:color="auto"/>
            <w:bottom w:val="none" w:sz="0" w:space="0" w:color="auto"/>
            <w:right w:val="none" w:sz="0" w:space="0" w:color="auto"/>
          </w:divBdr>
          <w:divsChild>
            <w:div w:id="2049721865">
              <w:marLeft w:val="0"/>
              <w:marRight w:val="0"/>
              <w:marTop w:val="0"/>
              <w:marBottom w:val="0"/>
              <w:divBdr>
                <w:top w:val="none" w:sz="0" w:space="0" w:color="auto"/>
                <w:left w:val="none" w:sz="0" w:space="0" w:color="auto"/>
                <w:bottom w:val="none" w:sz="0" w:space="0" w:color="auto"/>
                <w:right w:val="none" w:sz="0" w:space="0" w:color="auto"/>
              </w:divBdr>
            </w:div>
          </w:divsChild>
        </w:div>
        <w:div w:id="546180281">
          <w:marLeft w:val="0"/>
          <w:marRight w:val="0"/>
          <w:marTop w:val="0"/>
          <w:marBottom w:val="0"/>
          <w:divBdr>
            <w:top w:val="none" w:sz="0" w:space="0" w:color="auto"/>
            <w:left w:val="none" w:sz="0" w:space="0" w:color="auto"/>
            <w:bottom w:val="none" w:sz="0" w:space="0" w:color="auto"/>
            <w:right w:val="none" w:sz="0" w:space="0" w:color="auto"/>
          </w:divBdr>
          <w:divsChild>
            <w:div w:id="17033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5722">
      <w:bodyDiv w:val="1"/>
      <w:marLeft w:val="0"/>
      <w:marRight w:val="0"/>
      <w:marTop w:val="0"/>
      <w:marBottom w:val="0"/>
      <w:divBdr>
        <w:top w:val="none" w:sz="0" w:space="0" w:color="auto"/>
        <w:left w:val="none" w:sz="0" w:space="0" w:color="auto"/>
        <w:bottom w:val="none" w:sz="0" w:space="0" w:color="auto"/>
        <w:right w:val="none" w:sz="0" w:space="0" w:color="auto"/>
      </w:divBdr>
    </w:div>
    <w:div w:id="612396776">
      <w:bodyDiv w:val="1"/>
      <w:marLeft w:val="0"/>
      <w:marRight w:val="0"/>
      <w:marTop w:val="0"/>
      <w:marBottom w:val="0"/>
      <w:divBdr>
        <w:top w:val="none" w:sz="0" w:space="0" w:color="auto"/>
        <w:left w:val="none" w:sz="0" w:space="0" w:color="auto"/>
        <w:bottom w:val="none" w:sz="0" w:space="0" w:color="auto"/>
        <w:right w:val="none" w:sz="0" w:space="0" w:color="auto"/>
      </w:divBdr>
    </w:div>
    <w:div w:id="752362603">
      <w:bodyDiv w:val="1"/>
      <w:marLeft w:val="0"/>
      <w:marRight w:val="0"/>
      <w:marTop w:val="0"/>
      <w:marBottom w:val="0"/>
      <w:divBdr>
        <w:top w:val="none" w:sz="0" w:space="0" w:color="auto"/>
        <w:left w:val="none" w:sz="0" w:space="0" w:color="auto"/>
        <w:bottom w:val="none" w:sz="0" w:space="0" w:color="auto"/>
        <w:right w:val="none" w:sz="0" w:space="0" w:color="auto"/>
      </w:divBdr>
      <w:divsChild>
        <w:div w:id="317459495">
          <w:marLeft w:val="-225"/>
          <w:marRight w:val="-225"/>
          <w:marTop w:val="0"/>
          <w:marBottom w:val="0"/>
          <w:divBdr>
            <w:top w:val="none" w:sz="0" w:space="0" w:color="auto"/>
            <w:left w:val="none" w:sz="0" w:space="0" w:color="auto"/>
            <w:bottom w:val="none" w:sz="0" w:space="0" w:color="auto"/>
            <w:right w:val="none" w:sz="0" w:space="0" w:color="auto"/>
          </w:divBdr>
          <w:divsChild>
            <w:div w:id="334185856">
              <w:marLeft w:val="0"/>
              <w:marRight w:val="0"/>
              <w:marTop w:val="0"/>
              <w:marBottom w:val="0"/>
              <w:divBdr>
                <w:top w:val="none" w:sz="0" w:space="0" w:color="auto"/>
                <w:left w:val="none" w:sz="0" w:space="0" w:color="auto"/>
                <w:bottom w:val="none" w:sz="0" w:space="0" w:color="auto"/>
                <w:right w:val="none" w:sz="0" w:space="0" w:color="auto"/>
              </w:divBdr>
            </w:div>
            <w:div w:id="491025356">
              <w:marLeft w:val="0"/>
              <w:marRight w:val="0"/>
              <w:marTop w:val="0"/>
              <w:marBottom w:val="0"/>
              <w:divBdr>
                <w:top w:val="none" w:sz="0" w:space="0" w:color="auto"/>
                <w:left w:val="none" w:sz="0" w:space="0" w:color="auto"/>
                <w:bottom w:val="none" w:sz="0" w:space="0" w:color="auto"/>
                <w:right w:val="none" w:sz="0" w:space="0" w:color="auto"/>
              </w:divBdr>
              <w:divsChild>
                <w:div w:id="13070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61365">
      <w:bodyDiv w:val="1"/>
      <w:marLeft w:val="0"/>
      <w:marRight w:val="0"/>
      <w:marTop w:val="0"/>
      <w:marBottom w:val="0"/>
      <w:divBdr>
        <w:top w:val="none" w:sz="0" w:space="0" w:color="auto"/>
        <w:left w:val="none" w:sz="0" w:space="0" w:color="auto"/>
        <w:bottom w:val="none" w:sz="0" w:space="0" w:color="auto"/>
        <w:right w:val="none" w:sz="0" w:space="0" w:color="auto"/>
      </w:divBdr>
    </w:div>
    <w:div w:id="1149395799">
      <w:bodyDiv w:val="1"/>
      <w:marLeft w:val="0"/>
      <w:marRight w:val="0"/>
      <w:marTop w:val="0"/>
      <w:marBottom w:val="0"/>
      <w:divBdr>
        <w:top w:val="none" w:sz="0" w:space="0" w:color="auto"/>
        <w:left w:val="none" w:sz="0" w:space="0" w:color="auto"/>
        <w:bottom w:val="none" w:sz="0" w:space="0" w:color="auto"/>
        <w:right w:val="none" w:sz="0" w:space="0" w:color="auto"/>
      </w:divBdr>
    </w:div>
    <w:div w:id="1163622842">
      <w:bodyDiv w:val="1"/>
      <w:marLeft w:val="0"/>
      <w:marRight w:val="0"/>
      <w:marTop w:val="0"/>
      <w:marBottom w:val="0"/>
      <w:divBdr>
        <w:top w:val="none" w:sz="0" w:space="0" w:color="auto"/>
        <w:left w:val="none" w:sz="0" w:space="0" w:color="auto"/>
        <w:bottom w:val="none" w:sz="0" w:space="0" w:color="auto"/>
        <w:right w:val="none" w:sz="0" w:space="0" w:color="auto"/>
      </w:divBdr>
    </w:div>
    <w:div w:id="1477339474">
      <w:bodyDiv w:val="1"/>
      <w:marLeft w:val="0"/>
      <w:marRight w:val="0"/>
      <w:marTop w:val="0"/>
      <w:marBottom w:val="0"/>
      <w:divBdr>
        <w:top w:val="none" w:sz="0" w:space="0" w:color="auto"/>
        <w:left w:val="none" w:sz="0" w:space="0" w:color="auto"/>
        <w:bottom w:val="none" w:sz="0" w:space="0" w:color="auto"/>
        <w:right w:val="none" w:sz="0" w:space="0" w:color="auto"/>
      </w:divBdr>
    </w:div>
    <w:div w:id="1499417395">
      <w:bodyDiv w:val="1"/>
      <w:marLeft w:val="0"/>
      <w:marRight w:val="0"/>
      <w:marTop w:val="0"/>
      <w:marBottom w:val="0"/>
      <w:divBdr>
        <w:top w:val="none" w:sz="0" w:space="0" w:color="auto"/>
        <w:left w:val="none" w:sz="0" w:space="0" w:color="auto"/>
        <w:bottom w:val="none" w:sz="0" w:space="0" w:color="auto"/>
        <w:right w:val="none" w:sz="0" w:space="0" w:color="auto"/>
      </w:divBdr>
    </w:div>
    <w:div w:id="1570073726">
      <w:bodyDiv w:val="1"/>
      <w:marLeft w:val="0"/>
      <w:marRight w:val="0"/>
      <w:marTop w:val="0"/>
      <w:marBottom w:val="0"/>
      <w:divBdr>
        <w:top w:val="none" w:sz="0" w:space="0" w:color="auto"/>
        <w:left w:val="none" w:sz="0" w:space="0" w:color="auto"/>
        <w:bottom w:val="none" w:sz="0" w:space="0" w:color="auto"/>
        <w:right w:val="none" w:sz="0" w:space="0" w:color="auto"/>
      </w:divBdr>
    </w:div>
    <w:div w:id="1630085685">
      <w:bodyDiv w:val="1"/>
      <w:marLeft w:val="0"/>
      <w:marRight w:val="0"/>
      <w:marTop w:val="0"/>
      <w:marBottom w:val="0"/>
      <w:divBdr>
        <w:top w:val="none" w:sz="0" w:space="0" w:color="auto"/>
        <w:left w:val="none" w:sz="0" w:space="0" w:color="auto"/>
        <w:bottom w:val="none" w:sz="0" w:space="0" w:color="auto"/>
        <w:right w:val="none" w:sz="0" w:space="0" w:color="auto"/>
      </w:divBdr>
    </w:div>
    <w:div w:id="1678918502">
      <w:bodyDiv w:val="1"/>
      <w:marLeft w:val="0"/>
      <w:marRight w:val="0"/>
      <w:marTop w:val="0"/>
      <w:marBottom w:val="0"/>
      <w:divBdr>
        <w:top w:val="none" w:sz="0" w:space="0" w:color="auto"/>
        <w:left w:val="none" w:sz="0" w:space="0" w:color="auto"/>
        <w:bottom w:val="none" w:sz="0" w:space="0" w:color="auto"/>
        <w:right w:val="none" w:sz="0" w:space="0" w:color="auto"/>
      </w:divBdr>
    </w:div>
    <w:div w:id="1697653645">
      <w:bodyDiv w:val="1"/>
      <w:marLeft w:val="0"/>
      <w:marRight w:val="0"/>
      <w:marTop w:val="0"/>
      <w:marBottom w:val="0"/>
      <w:divBdr>
        <w:top w:val="none" w:sz="0" w:space="0" w:color="auto"/>
        <w:left w:val="none" w:sz="0" w:space="0" w:color="auto"/>
        <w:bottom w:val="none" w:sz="0" w:space="0" w:color="auto"/>
        <w:right w:val="none" w:sz="0" w:space="0" w:color="auto"/>
      </w:divBdr>
    </w:div>
    <w:div w:id="1716272140">
      <w:bodyDiv w:val="1"/>
      <w:marLeft w:val="0"/>
      <w:marRight w:val="0"/>
      <w:marTop w:val="0"/>
      <w:marBottom w:val="0"/>
      <w:divBdr>
        <w:top w:val="none" w:sz="0" w:space="0" w:color="auto"/>
        <w:left w:val="none" w:sz="0" w:space="0" w:color="auto"/>
        <w:bottom w:val="none" w:sz="0" w:space="0" w:color="auto"/>
        <w:right w:val="none" w:sz="0" w:space="0" w:color="auto"/>
      </w:divBdr>
    </w:div>
    <w:div w:id="1783766140">
      <w:bodyDiv w:val="1"/>
      <w:marLeft w:val="0"/>
      <w:marRight w:val="0"/>
      <w:marTop w:val="0"/>
      <w:marBottom w:val="0"/>
      <w:divBdr>
        <w:top w:val="none" w:sz="0" w:space="0" w:color="auto"/>
        <w:left w:val="none" w:sz="0" w:space="0" w:color="auto"/>
        <w:bottom w:val="none" w:sz="0" w:space="0" w:color="auto"/>
        <w:right w:val="none" w:sz="0" w:space="0" w:color="auto"/>
      </w:divBdr>
    </w:div>
    <w:div w:id="1901479002">
      <w:bodyDiv w:val="1"/>
      <w:marLeft w:val="0"/>
      <w:marRight w:val="0"/>
      <w:marTop w:val="0"/>
      <w:marBottom w:val="0"/>
      <w:divBdr>
        <w:top w:val="none" w:sz="0" w:space="0" w:color="auto"/>
        <w:left w:val="none" w:sz="0" w:space="0" w:color="auto"/>
        <w:bottom w:val="none" w:sz="0" w:space="0" w:color="auto"/>
        <w:right w:val="none" w:sz="0" w:space="0" w:color="auto"/>
      </w:divBdr>
    </w:div>
    <w:div w:id="2014841154">
      <w:bodyDiv w:val="1"/>
      <w:marLeft w:val="0"/>
      <w:marRight w:val="0"/>
      <w:marTop w:val="0"/>
      <w:marBottom w:val="0"/>
      <w:divBdr>
        <w:top w:val="none" w:sz="0" w:space="0" w:color="auto"/>
        <w:left w:val="none" w:sz="0" w:space="0" w:color="auto"/>
        <w:bottom w:val="none" w:sz="0" w:space="0" w:color="auto"/>
        <w:right w:val="none" w:sz="0" w:space="0" w:color="auto"/>
      </w:divBdr>
    </w:div>
    <w:div w:id="2058164469">
      <w:bodyDiv w:val="1"/>
      <w:marLeft w:val="0"/>
      <w:marRight w:val="0"/>
      <w:marTop w:val="0"/>
      <w:marBottom w:val="0"/>
      <w:divBdr>
        <w:top w:val="none" w:sz="0" w:space="0" w:color="auto"/>
        <w:left w:val="none" w:sz="0" w:space="0" w:color="auto"/>
        <w:bottom w:val="none" w:sz="0" w:space="0" w:color="auto"/>
        <w:right w:val="none" w:sz="0" w:space="0" w:color="auto"/>
      </w:divBdr>
    </w:div>
    <w:div w:id="2088190042">
      <w:bodyDiv w:val="1"/>
      <w:marLeft w:val="0"/>
      <w:marRight w:val="0"/>
      <w:marTop w:val="0"/>
      <w:marBottom w:val="0"/>
      <w:divBdr>
        <w:top w:val="none" w:sz="0" w:space="0" w:color="auto"/>
        <w:left w:val="none" w:sz="0" w:space="0" w:color="auto"/>
        <w:bottom w:val="none" w:sz="0" w:space="0" w:color="auto"/>
        <w:right w:val="none" w:sz="0" w:space="0" w:color="auto"/>
      </w:divBdr>
    </w:div>
    <w:div w:id="2131900085">
      <w:bodyDiv w:val="1"/>
      <w:marLeft w:val="0"/>
      <w:marRight w:val="0"/>
      <w:marTop w:val="0"/>
      <w:marBottom w:val="0"/>
      <w:divBdr>
        <w:top w:val="none" w:sz="0" w:space="0" w:color="auto"/>
        <w:left w:val="none" w:sz="0" w:space="0" w:color="auto"/>
        <w:bottom w:val="none" w:sz="0" w:space="0" w:color="auto"/>
        <w:right w:val="none" w:sz="0" w:space="0" w:color="auto"/>
      </w:divBdr>
      <w:divsChild>
        <w:div w:id="781802243">
          <w:marLeft w:val="0"/>
          <w:marRight w:val="0"/>
          <w:marTop w:val="0"/>
          <w:marBottom w:val="0"/>
          <w:divBdr>
            <w:top w:val="none" w:sz="0" w:space="0" w:color="auto"/>
            <w:left w:val="none" w:sz="0" w:space="0" w:color="auto"/>
            <w:bottom w:val="none" w:sz="0" w:space="0" w:color="auto"/>
            <w:right w:val="none" w:sz="0" w:space="0" w:color="auto"/>
          </w:divBdr>
          <w:divsChild>
            <w:div w:id="1963805886">
              <w:marLeft w:val="0"/>
              <w:marRight w:val="0"/>
              <w:marTop w:val="0"/>
              <w:marBottom w:val="0"/>
              <w:divBdr>
                <w:top w:val="none" w:sz="0" w:space="0" w:color="auto"/>
                <w:left w:val="none" w:sz="0" w:space="0" w:color="auto"/>
                <w:bottom w:val="none" w:sz="0" w:space="0" w:color="auto"/>
                <w:right w:val="none" w:sz="0" w:space="0" w:color="auto"/>
              </w:divBdr>
              <w:divsChild>
                <w:div w:id="300770134">
                  <w:marLeft w:val="-225"/>
                  <w:marRight w:val="-225"/>
                  <w:marTop w:val="0"/>
                  <w:marBottom w:val="0"/>
                  <w:divBdr>
                    <w:top w:val="none" w:sz="0" w:space="0" w:color="auto"/>
                    <w:left w:val="none" w:sz="0" w:space="0" w:color="auto"/>
                    <w:bottom w:val="none" w:sz="0" w:space="0" w:color="auto"/>
                    <w:right w:val="none" w:sz="0" w:space="0" w:color="auto"/>
                  </w:divBdr>
                  <w:divsChild>
                    <w:div w:id="341012961">
                      <w:marLeft w:val="0"/>
                      <w:marRight w:val="0"/>
                      <w:marTop w:val="0"/>
                      <w:marBottom w:val="0"/>
                      <w:divBdr>
                        <w:top w:val="none" w:sz="0" w:space="0" w:color="auto"/>
                        <w:left w:val="none" w:sz="0" w:space="0" w:color="auto"/>
                        <w:bottom w:val="none" w:sz="0" w:space="0" w:color="auto"/>
                        <w:right w:val="none" w:sz="0" w:space="0" w:color="auto"/>
                      </w:divBdr>
                    </w:div>
                    <w:div w:id="19855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0294">
          <w:marLeft w:val="0"/>
          <w:marRight w:val="0"/>
          <w:marTop w:val="0"/>
          <w:marBottom w:val="0"/>
          <w:divBdr>
            <w:top w:val="none" w:sz="0" w:space="0" w:color="auto"/>
            <w:left w:val="none" w:sz="0" w:space="0" w:color="auto"/>
            <w:bottom w:val="none" w:sz="0" w:space="0" w:color="auto"/>
            <w:right w:val="none" w:sz="0" w:space="0" w:color="auto"/>
          </w:divBdr>
          <w:divsChild>
            <w:div w:id="818572575">
              <w:marLeft w:val="0"/>
              <w:marRight w:val="0"/>
              <w:marTop w:val="0"/>
              <w:marBottom w:val="0"/>
              <w:divBdr>
                <w:top w:val="none" w:sz="0" w:space="0" w:color="auto"/>
                <w:left w:val="none" w:sz="0" w:space="0" w:color="auto"/>
                <w:bottom w:val="none" w:sz="0" w:space="0" w:color="auto"/>
                <w:right w:val="none" w:sz="0" w:space="0" w:color="auto"/>
              </w:divBdr>
            </w:div>
          </w:divsChild>
        </w:div>
        <w:div w:id="1827476087">
          <w:marLeft w:val="0"/>
          <w:marRight w:val="0"/>
          <w:marTop w:val="0"/>
          <w:marBottom w:val="0"/>
          <w:divBdr>
            <w:top w:val="none" w:sz="0" w:space="0" w:color="auto"/>
            <w:left w:val="none" w:sz="0" w:space="0" w:color="auto"/>
            <w:bottom w:val="none" w:sz="0" w:space="0" w:color="auto"/>
            <w:right w:val="none" w:sz="0" w:space="0" w:color="auto"/>
          </w:divBdr>
          <w:divsChild>
            <w:div w:id="1803688794">
              <w:marLeft w:val="0"/>
              <w:marRight w:val="0"/>
              <w:marTop w:val="0"/>
              <w:marBottom w:val="0"/>
              <w:divBdr>
                <w:top w:val="none" w:sz="0" w:space="0" w:color="auto"/>
                <w:left w:val="none" w:sz="0" w:space="0" w:color="auto"/>
                <w:bottom w:val="none" w:sz="0" w:space="0" w:color="auto"/>
                <w:right w:val="none" w:sz="0" w:space="0" w:color="auto"/>
              </w:divBdr>
              <w:divsChild>
                <w:div w:id="140780903">
                  <w:marLeft w:val="0"/>
                  <w:marRight w:val="0"/>
                  <w:marTop w:val="0"/>
                  <w:marBottom w:val="0"/>
                  <w:divBdr>
                    <w:top w:val="none" w:sz="0" w:space="0" w:color="auto"/>
                    <w:left w:val="none" w:sz="0" w:space="0" w:color="auto"/>
                    <w:bottom w:val="none" w:sz="0" w:space="0" w:color="auto"/>
                    <w:right w:val="none" w:sz="0" w:space="0" w:color="auto"/>
                  </w:divBdr>
                </w:div>
              </w:divsChild>
            </w:div>
            <w:div w:id="1157040395">
              <w:marLeft w:val="-225"/>
              <w:marRight w:val="-225"/>
              <w:marTop w:val="0"/>
              <w:marBottom w:val="0"/>
              <w:divBdr>
                <w:top w:val="none" w:sz="0" w:space="0" w:color="auto"/>
                <w:left w:val="none" w:sz="0" w:space="0" w:color="auto"/>
                <w:bottom w:val="none" w:sz="0" w:space="0" w:color="auto"/>
                <w:right w:val="none" w:sz="0" w:space="0" w:color="auto"/>
              </w:divBdr>
              <w:divsChild>
                <w:div w:id="1366101385">
                  <w:marLeft w:val="0"/>
                  <w:marRight w:val="0"/>
                  <w:marTop w:val="0"/>
                  <w:marBottom w:val="0"/>
                  <w:divBdr>
                    <w:top w:val="none" w:sz="0" w:space="0" w:color="auto"/>
                    <w:left w:val="none" w:sz="0" w:space="0" w:color="auto"/>
                    <w:bottom w:val="none" w:sz="0" w:space="0" w:color="auto"/>
                    <w:right w:val="none" w:sz="0" w:space="0" w:color="auto"/>
                  </w:divBdr>
                  <w:divsChild>
                    <w:div w:id="1867715022">
                      <w:marLeft w:val="-225"/>
                      <w:marRight w:val="-225"/>
                      <w:marTop w:val="0"/>
                      <w:marBottom w:val="0"/>
                      <w:divBdr>
                        <w:top w:val="none" w:sz="0" w:space="0" w:color="auto"/>
                        <w:left w:val="none" w:sz="0" w:space="0" w:color="auto"/>
                        <w:bottom w:val="none" w:sz="0" w:space="0" w:color="auto"/>
                        <w:right w:val="none" w:sz="0" w:space="0" w:color="auto"/>
                      </w:divBdr>
                      <w:divsChild>
                        <w:div w:id="890381341">
                          <w:marLeft w:val="0"/>
                          <w:marRight w:val="0"/>
                          <w:marTop w:val="0"/>
                          <w:marBottom w:val="0"/>
                          <w:divBdr>
                            <w:top w:val="none" w:sz="0" w:space="0" w:color="auto"/>
                            <w:left w:val="none" w:sz="0" w:space="0" w:color="auto"/>
                            <w:bottom w:val="none" w:sz="0" w:space="0" w:color="auto"/>
                            <w:right w:val="none" w:sz="0" w:space="0" w:color="auto"/>
                          </w:divBdr>
                          <w:divsChild>
                            <w:div w:id="848565431">
                              <w:marLeft w:val="0"/>
                              <w:marRight w:val="0"/>
                              <w:marTop w:val="0"/>
                              <w:marBottom w:val="0"/>
                              <w:divBdr>
                                <w:top w:val="none" w:sz="0" w:space="0" w:color="auto"/>
                                <w:left w:val="none" w:sz="0" w:space="0" w:color="auto"/>
                                <w:bottom w:val="none" w:sz="0" w:space="0" w:color="auto"/>
                                <w:right w:val="none" w:sz="0" w:space="0" w:color="auto"/>
                              </w:divBdr>
                              <w:divsChild>
                                <w:div w:id="13644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6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cba.org/resources" TargetMode="External"/><Relationship Id="rId18" Type="http://schemas.openxmlformats.org/officeDocument/2006/relationships/hyperlink" Target="https://www.icba.org/all-products/product-details/compliance-working-papers---cd" TargetMode="External"/><Relationship Id="rId26" Type="http://schemas.openxmlformats.org/officeDocument/2006/relationships/hyperlink" Target="https://www.icba.org/education/resources/professional-development-planner" TargetMode="External"/><Relationship Id="rId3" Type="http://schemas.openxmlformats.org/officeDocument/2006/relationships/customXml" Target="../customXml/item3.xml"/><Relationship Id="rId21" Type="http://schemas.openxmlformats.org/officeDocument/2006/relationships/hyperlink" Target="https://www.icba.org/all-products/product-details/ira-fact-book-35th-edition?utm_campaign=EDU%3A%20Products%2FOnline%20Training&amp;utm_source=hs_email&amp;utm_medium=email&amp;_hsenc=p2ANqtz-86hDnmoIQYH_aMVejmYj0eUrVGAsS_uPYLnQIKnfapA7UOkSxm1IykANR1rQQCQ8X888JG" TargetMode="External"/><Relationship Id="rId7" Type="http://schemas.openxmlformats.org/officeDocument/2006/relationships/webSettings" Target="webSettings.xml"/><Relationship Id="rId12" Type="http://schemas.openxmlformats.org/officeDocument/2006/relationships/hyperlink" Target="https://www.icba.org/web/guest/p/bank-compliance-check-up-program?p_l_back_url=https%3A%2F%2Fwww.icba.org%2Fsearch-results%3Fp_l_back_url%3D%252Fsearch-results%253Fq%253Daudit%252Bworking%252Bpapers%26p_l_back_url_title%3DSearch%2BResults%26q%3DCOMPLIANCE%2BDESKBOOK&amp;p_l_back_url_title=Search+Results" TargetMode="External"/><Relationship Id="rId17" Type="http://schemas.openxmlformats.org/officeDocument/2006/relationships/hyperlink" Target="https://www.icba.org/web/guest/p/compliance-desk-book?p_l_back_url=https%3A%2F%2Fwww.icba.org%2Feducation-offerings&amp;p_l_back_url_title=Product+Listing" TargetMode="External"/><Relationship Id="rId25" Type="http://schemas.openxmlformats.org/officeDocument/2006/relationships/hyperlink" Target="https://www.icba.org/all-products/product-details/hsa-training-organizer-student-guide-14th-edition?utm_campaign=EDU%3A%20Products%2FOnline%20Training&amp;utm_source=hs_email&amp;utm_medium=email&amp;_hsenc=p2ANqtz-86hDnmoIQYH_aMVejmYj0eUrVGAsS_uPYLnQIKnfapA7UOkSxm1IykANR1rQQCQ8X888JG" TargetMode="External"/><Relationship Id="rId2" Type="http://schemas.openxmlformats.org/officeDocument/2006/relationships/customXml" Target="../customXml/item2.xml"/><Relationship Id="rId16" Type="http://schemas.openxmlformats.org/officeDocument/2006/relationships/hyperlink" Target="https://www.icba.org/web/guest/p/check-your-ad?p_l_back_url=https%3A%2F%2Fwww.icba.org%2Feducation-offerings&amp;p_l_back_url_title=Product+Listing" TargetMode="External"/><Relationship Id="rId20" Type="http://schemas.openxmlformats.org/officeDocument/2006/relationships/hyperlink" Target="https://www.icba.org/all-products/product-details/ira-compliance-operations-manual-32nd-edition?utm_campaign=EDU%3A%20Products%2FOnline%20Training&amp;utm_source=hs_email&amp;utm_medium=email&amp;_hsenc=p2ANqtz-86hDnmoIQYH_aMVejmYj0eUrVGAsS_uPYLnQIKnfapA7UOkSxm1IykANR1rQQCQ8X888J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ba.org/p/audit-working-papers-digital?p_l_back_url=%2Fsearch-results%3Fq%3Daudit%2Bworking%2Bpapers&amp;p_l_back_url_title=Search+Results" TargetMode="External"/><Relationship Id="rId24" Type="http://schemas.openxmlformats.org/officeDocument/2006/relationships/hyperlink" Target="https://www.icba.org/all-products/product-details/hsa-compliance-operations-manual-17th-edition?utm_campaign=EDU%3A%20Products%2FOnline%20Training&amp;utm_source=hs_email&amp;utm_medium=email&amp;_hsenc=p2ANqtz-86hDnmoIQYH_aMVejmYj0eUrVGAsS_uPYLnQIKnfapA7UOkSxm1IykANR1rQQCQ8X888JG" TargetMode="External"/><Relationship Id="rId5" Type="http://schemas.openxmlformats.org/officeDocument/2006/relationships/styles" Target="styles.xml"/><Relationship Id="rId15" Type="http://schemas.openxmlformats.org/officeDocument/2006/relationships/hyperlink" Target="https://www.icba.org/web/guest/p/video-2023-bsa/aml-training-series?p_l_back_url=https%3A%2F%2Fwww.icba.org%2Feducation-offerings&amp;p_l_back_url_title=Product+Listing" TargetMode="External"/><Relationship Id="rId23" Type="http://schemas.openxmlformats.org/officeDocument/2006/relationships/hyperlink" Target="https://www.icba.org/all-products/product-details/hsa-desktop-guide-21st-edition?utm_campaign=EDU%3A%20Products%2FOnline%20Training&amp;utm_source=hs_email&amp;utm_medium=email&amp;_hsenc=p2ANqtz-86hDnmoIQYH_aMVejmYj0eUrVGAsS_uPYLnQIKnfapA7UOkSxm1IykANR1rQQCQ8X888JG" TargetMode="External"/><Relationship Id="rId28" Type="http://schemas.openxmlformats.org/officeDocument/2006/relationships/footer" Target="footer1.xml"/><Relationship Id="rId10" Type="http://schemas.openxmlformats.org/officeDocument/2006/relationships/hyperlink" Target="https://www.icba.org/education/resources" TargetMode="External"/><Relationship Id="rId19" Type="http://schemas.openxmlformats.org/officeDocument/2006/relationships/hyperlink" Target="https://www.icba.org/education/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cba.org/web/guest/p/boardroom-strategies-for-financial-institutions?p_l_back_url=https%3A%2F%2Fwww.icba.org%2Fresources&amp;p_l_back_url_title=Resources" TargetMode="External"/><Relationship Id="rId22" Type="http://schemas.openxmlformats.org/officeDocument/2006/relationships/hyperlink" Target="https://www.icba.org/all-products/product-details/ira-training-organizer-student-guide-15th-edition?utm_campaign=EDU%3A%20Products%2FOnline%20Training&amp;utm_source=hs_email&amp;utm_medium=email&amp;_hsenc=p2ANqtz-86hDnmoIQYH_aMVejmYj0eUrVGAsS_uPYLnQIKnfapA7UOkSxm1IykANR1rQQCQ8X888JG"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da77778-c115-4190-9f30-c281e8b9d20e" xsi:nil="true"/>
    <_ip_UnifiedCompliancePolicyProperties xmlns="http://schemas.microsoft.com/sharepoint/v3" xsi:nil="true"/>
    <lcf76f155ced4ddcb4097134ff3c332f xmlns="8ca56641-35a1-4add-9300-8578b94c86ce">
      <Terms xmlns="http://schemas.microsoft.com/office/infopath/2007/PartnerControls"/>
    </lcf76f155ced4ddcb4097134ff3c332f>
    <SharedWithUsers xmlns="6da77778-c115-4190-9f30-c281e8b9d20e">
      <UserInfo>
        <DisplayName>Mandy Snyder</DisplayName>
        <AccountId>12</AccountId>
        <AccountType/>
      </UserInfo>
      <UserInfo>
        <DisplayName>Lindsay LaNore</DisplayName>
        <AccountId>16</AccountId>
        <AccountType/>
      </UserInfo>
      <UserInfo>
        <DisplayName>Julie Hanson</DisplayName>
        <AccountId>357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CC48DED77D134388C3BD6D4DBB2FBB" ma:contentTypeVersion="22" ma:contentTypeDescription="Create a new document." ma:contentTypeScope="" ma:versionID="bf9e2676f5069a279b9b8be66907f8bd">
  <xsd:schema xmlns:xsd="http://www.w3.org/2001/XMLSchema" xmlns:xs="http://www.w3.org/2001/XMLSchema" xmlns:p="http://schemas.microsoft.com/office/2006/metadata/properties" xmlns:ns1="http://schemas.microsoft.com/sharepoint/v3" xmlns:ns2="8ca56641-35a1-4add-9300-8578b94c86ce" xmlns:ns3="6da77778-c115-4190-9f30-c281e8b9d20e" targetNamespace="http://schemas.microsoft.com/office/2006/metadata/properties" ma:root="true" ma:fieldsID="40e0fbd302c3ebc9c455ca4bb7b79a54" ns1:_="" ns2:_="" ns3:_="">
    <xsd:import namespace="http://schemas.microsoft.com/sharepoint/v3"/>
    <xsd:import namespace="8ca56641-35a1-4add-9300-8578b94c86ce"/>
    <xsd:import namespace="6da77778-c115-4190-9f30-c281e8b9d2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a56641-35a1-4add-9300-8578b94c8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00ea6a4-c0f9-4ccf-bf6c-dcf772f52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77778-c115-4190-9f30-c281e8b9d20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1e7e212-d2d8-46b1-b4b9-75b293989b6d}" ma:internalName="TaxCatchAll" ma:showField="CatchAllData" ma:web="6da77778-c115-4190-9f30-c281e8b9d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88146-075F-44DB-86ED-4A6A7A7848C8}">
  <ds:schemaRefs>
    <ds:schemaRef ds:uri="http://schemas.microsoft.com/sharepoint/v3/contenttype/forms"/>
  </ds:schemaRefs>
</ds:datastoreItem>
</file>

<file path=customXml/itemProps2.xml><?xml version="1.0" encoding="utf-8"?>
<ds:datastoreItem xmlns:ds="http://schemas.openxmlformats.org/officeDocument/2006/customXml" ds:itemID="{0BAE8047-B724-408E-89EF-27651939DA97}">
  <ds:schemaRefs>
    <ds:schemaRef ds:uri="http://schemas.microsoft.com/office/2006/metadata/properties"/>
    <ds:schemaRef ds:uri="http://schemas.microsoft.com/office/infopath/2007/PartnerControls"/>
    <ds:schemaRef ds:uri="http://schemas.microsoft.com/sharepoint/v3"/>
    <ds:schemaRef ds:uri="6da77778-c115-4190-9f30-c281e8b9d20e"/>
    <ds:schemaRef ds:uri="8ca56641-35a1-4add-9300-8578b94c86ce"/>
  </ds:schemaRefs>
</ds:datastoreItem>
</file>

<file path=customXml/itemProps3.xml><?xml version="1.0" encoding="utf-8"?>
<ds:datastoreItem xmlns:ds="http://schemas.openxmlformats.org/officeDocument/2006/customXml" ds:itemID="{1F645CEA-E6AB-4317-83CE-24AA963B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a56641-35a1-4add-9300-8578b94c86ce"/>
    <ds:schemaRef ds:uri="6da77778-c115-4190-9f30-c281e8b9d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1623</Words>
  <Characters>9937</Characters>
  <Application>Microsoft Office Word</Application>
  <DocSecurity>4</DocSecurity>
  <Lines>194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Hanson</dc:creator>
  <cp:keywords/>
  <dc:description/>
  <cp:lastModifiedBy>April Folger</cp:lastModifiedBy>
  <cp:revision>2</cp:revision>
  <dcterms:created xsi:type="dcterms:W3CDTF">2026-01-12T19:18:00Z</dcterms:created>
  <dcterms:modified xsi:type="dcterms:W3CDTF">2026-01-12T19:18:00Z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0x0101005ACC48DED77D134388C3BD6D4DBB2FBB</vt:lpwstr>
  </property>
  <property fmtid="{D5CDD505-2E9C-101B-9397-08002B2CF9AE}" pid="3" name="MediaServiceImageTags">
    <vt:lpwstr/>
  </property>
</Properties>
</file>